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B061E">
      <w:pPr>
        <w:ind w:left="-850" w:leftChars="-405" w:right="-907" w:rightChars="-432"/>
        <w:jc w:val="center"/>
        <w:rPr>
          <w:rFonts w:hint="eastAsia" w:ascii="黑体" w:hAnsi="黑体" w:eastAsia="黑体" w:cs="宋体"/>
          <w:sz w:val="32"/>
          <w:szCs w:val="32"/>
          <w:lang w:eastAsia="zh-CN"/>
        </w:rPr>
      </w:pPr>
      <w:r>
        <w:rPr>
          <w:rFonts w:hint="eastAsia" w:ascii="黑体" w:hAnsi="黑体" w:eastAsia="黑体"/>
          <w:sz w:val="44"/>
          <w:szCs w:val="44"/>
          <w:lang w:eastAsia="zh-CN"/>
        </w:rPr>
        <w:t>盐城市联鑫钢铁有限公司优特钢升级改造项目（EPC）总承包</w:t>
      </w:r>
    </w:p>
    <w:p w14:paraId="55D42AA5">
      <w:pPr>
        <w:ind w:left="-850" w:leftChars="-405" w:right="-907" w:rightChars="-432"/>
        <w:rPr>
          <w:rFonts w:cs="宋体"/>
          <w:sz w:val="28"/>
          <w:szCs w:val="28"/>
        </w:rPr>
      </w:pPr>
    </w:p>
    <w:p w14:paraId="57C61659">
      <w:pPr>
        <w:ind w:left="-850" w:leftChars="-405" w:right="-907" w:rightChars="-432"/>
        <w:rPr>
          <w:rFonts w:cs="宋体"/>
          <w:sz w:val="28"/>
          <w:szCs w:val="28"/>
        </w:rPr>
      </w:pPr>
    </w:p>
    <w:p w14:paraId="5C646CF9">
      <w:pPr>
        <w:pStyle w:val="45"/>
        <w:ind w:firstLine="420"/>
        <w:rPr>
          <w:rFonts w:cs="宋体"/>
        </w:rPr>
      </w:pPr>
    </w:p>
    <w:p w14:paraId="160C9CE3">
      <w:pPr>
        <w:rPr>
          <w:rFonts w:cs="宋体"/>
        </w:rPr>
      </w:pPr>
    </w:p>
    <w:p w14:paraId="7CDC8E95">
      <w:pPr>
        <w:ind w:left="-850" w:leftChars="-405" w:right="-907" w:rightChars="-432"/>
        <w:jc w:val="center"/>
        <w:rPr>
          <w:rFonts w:cs="宋体"/>
          <w:sz w:val="96"/>
          <w:szCs w:val="96"/>
        </w:rPr>
      </w:pPr>
      <w:bookmarkStart w:id="0" w:name="_Toc98503849"/>
      <w:bookmarkStart w:id="1" w:name="_Toc112052718"/>
      <w:r>
        <w:rPr>
          <w:rFonts w:hint="eastAsia" w:eastAsia="黑体"/>
          <w:sz w:val="96"/>
          <w:szCs w:val="96"/>
        </w:rPr>
        <w:t>招标文件</w:t>
      </w:r>
      <w:bookmarkEnd w:id="0"/>
      <w:bookmarkEnd w:id="1"/>
    </w:p>
    <w:p w14:paraId="27E582B3">
      <w:pPr>
        <w:ind w:firstLine="2400" w:firstLineChars="1000"/>
        <w:rPr>
          <w:rFonts w:cs="宋体"/>
          <w:sz w:val="24"/>
        </w:rPr>
      </w:pPr>
    </w:p>
    <w:p w14:paraId="4D017D94">
      <w:pPr>
        <w:ind w:firstLine="2400" w:firstLineChars="1000"/>
        <w:rPr>
          <w:rFonts w:hint="default" w:eastAsia="宋体" w:cs="宋体"/>
          <w:sz w:val="24"/>
          <w:lang w:val="en-US" w:eastAsia="zh-CN"/>
        </w:rPr>
      </w:pPr>
      <w:r>
        <w:rPr>
          <w:rFonts w:cs="宋体"/>
          <w:sz w:val="24"/>
        </w:rPr>
        <w:t>项目编号</w:t>
      </w:r>
      <w:r>
        <w:rPr>
          <w:rFonts w:hint="eastAsia" w:cs="宋体"/>
          <w:sz w:val="24"/>
        </w:rPr>
        <w:t>：YCLC-202</w:t>
      </w:r>
      <w:r>
        <w:rPr>
          <w:rFonts w:hint="eastAsia" w:cs="宋体"/>
          <w:sz w:val="24"/>
          <w:lang w:val="en-US" w:eastAsia="zh-CN"/>
        </w:rPr>
        <w:t>50205003</w:t>
      </w:r>
    </w:p>
    <w:p w14:paraId="16B0DF42">
      <w:pPr>
        <w:pStyle w:val="45"/>
        <w:ind w:left="-850" w:leftChars="-405" w:right="-907" w:rightChars="-432" w:firstLine="480"/>
        <w:jc w:val="center"/>
        <w:rPr>
          <w:rFonts w:cs="宋体"/>
          <w:sz w:val="24"/>
        </w:rPr>
      </w:pPr>
    </w:p>
    <w:p w14:paraId="5C03886E">
      <w:pPr>
        <w:ind w:left="-850" w:leftChars="-405" w:right="-907" w:rightChars="-432"/>
        <w:rPr>
          <w:rFonts w:cs="宋体"/>
        </w:rPr>
      </w:pPr>
    </w:p>
    <w:p w14:paraId="2A28F2D9">
      <w:pPr>
        <w:ind w:left="-850" w:leftChars="-405" w:right="-907" w:rightChars="-432"/>
        <w:rPr>
          <w:rFonts w:cs="宋体"/>
        </w:rPr>
      </w:pPr>
      <w:r>
        <w:rPr>
          <w:rFonts w:hint="eastAsia" w:cs="宋体"/>
        </w:rPr>
        <w:t xml:space="preserve"> </w:t>
      </w:r>
    </w:p>
    <w:p w14:paraId="6D8C5A53">
      <w:pPr>
        <w:ind w:right="-907" w:rightChars="-432"/>
        <w:rPr>
          <w:rFonts w:cs="宋体"/>
        </w:rPr>
      </w:pPr>
    </w:p>
    <w:p w14:paraId="47CB3194">
      <w:pPr>
        <w:ind w:left="-850" w:leftChars="-405" w:right="-907" w:rightChars="-432"/>
        <w:rPr>
          <w:rFonts w:cs="宋体"/>
        </w:rPr>
      </w:pPr>
    </w:p>
    <w:p w14:paraId="189B26AE">
      <w:pPr>
        <w:ind w:left="-850" w:leftChars="-405" w:right="-907" w:rightChars="-432"/>
        <w:rPr>
          <w:rFonts w:cs="宋体"/>
        </w:rPr>
      </w:pPr>
    </w:p>
    <w:p w14:paraId="5681BB9F">
      <w:pPr>
        <w:ind w:left="-850" w:leftChars="-405" w:right="-907" w:rightChars="-432"/>
        <w:rPr>
          <w:rFonts w:cs="宋体"/>
        </w:rPr>
      </w:pPr>
    </w:p>
    <w:p w14:paraId="34E4301E">
      <w:pPr>
        <w:ind w:right="-907" w:rightChars="-432" w:firstLine="840" w:firstLineChars="300"/>
        <w:rPr>
          <w:rFonts w:cs="宋体"/>
          <w:sz w:val="28"/>
          <w:szCs w:val="28"/>
          <w:u w:val="single"/>
        </w:rPr>
      </w:pPr>
      <w:r>
        <w:rPr>
          <w:rFonts w:hint="eastAsia" w:cs="宋体"/>
          <w:sz w:val="28"/>
          <w:szCs w:val="28"/>
        </w:rPr>
        <w:t>招   标   人：</w:t>
      </w:r>
      <w:r>
        <w:rPr>
          <w:rFonts w:hint="eastAsia" w:cs="宋体"/>
          <w:sz w:val="28"/>
          <w:szCs w:val="28"/>
          <w:u w:val="single"/>
        </w:rPr>
        <w:t>盐城市联鑫钢铁有限公司（盖单位章）</w:t>
      </w:r>
    </w:p>
    <w:p w14:paraId="0590B0A6">
      <w:pPr>
        <w:ind w:right="-907" w:rightChars="-432" w:firstLine="840" w:firstLineChars="300"/>
        <w:rPr>
          <w:rFonts w:cs="宋体"/>
          <w:sz w:val="28"/>
          <w:szCs w:val="28"/>
        </w:rPr>
      </w:pPr>
      <w:r>
        <w:rPr>
          <w:rFonts w:hint="eastAsia" w:cs="宋体"/>
          <w:sz w:val="28"/>
          <w:szCs w:val="28"/>
        </w:rPr>
        <w:t>招标代理机构：</w:t>
      </w:r>
      <w:r>
        <w:rPr>
          <w:rFonts w:hint="eastAsia" w:cs="宋体"/>
          <w:sz w:val="28"/>
          <w:szCs w:val="28"/>
          <w:u w:val="single"/>
        </w:rPr>
        <w:t>盐城林辰项目管理有限公司（盖单位章）</w:t>
      </w:r>
    </w:p>
    <w:p w14:paraId="2EC0A4FD">
      <w:pPr>
        <w:ind w:left="-850" w:leftChars="-405" w:right="-907" w:rightChars="-432" w:firstLine="2268" w:firstLineChars="810"/>
        <w:rPr>
          <w:rFonts w:cs="宋体"/>
          <w:sz w:val="36"/>
          <w:szCs w:val="36"/>
        </w:rPr>
      </w:pPr>
      <w:r>
        <w:rPr>
          <w:rFonts w:hint="eastAsia" w:cs="宋体"/>
          <w:sz w:val="28"/>
          <w:szCs w:val="28"/>
        </w:rPr>
        <w:t>日        期：</w:t>
      </w:r>
      <w:r>
        <w:rPr>
          <w:rFonts w:hint="eastAsia" w:cs="宋体"/>
          <w:sz w:val="28"/>
          <w:szCs w:val="28"/>
          <w:u w:val="single"/>
        </w:rPr>
        <w:t>202</w:t>
      </w:r>
      <w:r>
        <w:rPr>
          <w:rFonts w:hint="eastAsia" w:cs="宋体"/>
          <w:sz w:val="28"/>
          <w:szCs w:val="28"/>
          <w:u w:val="single"/>
          <w:lang w:val="en-US" w:eastAsia="zh-CN"/>
        </w:rPr>
        <w:t>5</w:t>
      </w:r>
      <w:r>
        <w:rPr>
          <w:rFonts w:hint="eastAsia" w:cs="宋体"/>
          <w:sz w:val="28"/>
          <w:szCs w:val="28"/>
        </w:rPr>
        <w:t>年</w:t>
      </w:r>
      <w:r>
        <w:rPr>
          <w:rFonts w:hint="eastAsia" w:cs="宋体"/>
          <w:sz w:val="28"/>
          <w:szCs w:val="28"/>
          <w:u w:val="single"/>
          <w:lang w:val="en-US" w:eastAsia="zh-CN"/>
        </w:rPr>
        <w:t>2</w:t>
      </w:r>
      <w:r>
        <w:rPr>
          <w:rFonts w:hint="eastAsia" w:cs="宋体"/>
          <w:sz w:val="28"/>
          <w:szCs w:val="28"/>
        </w:rPr>
        <w:t>月</w:t>
      </w:r>
      <w:r>
        <w:rPr>
          <w:rFonts w:hint="eastAsia" w:cs="宋体"/>
          <w:sz w:val="28"/>
          <w:szCs w:val="28"/>
          <w:u w:val="single"/>
          <w:lang w:val="en-US" w:eastAsia="zh-CN"/>
        </w:rPr>
        <w:t>14</w:t>
      </w:r>
      <w:r>
        <w:rPr>
          <w:rFonts w:hint="eastAsia" w:cs="宋体"/>
          <w:sz w:val="28"/>
          <w:szCs w:val="28"/>
        </w:rPr>
        <w:t>日</w:t>
      </w:r>
    </w:p>
    <w:p w14:paraId="2A6F2AE8">
      <w:pPr>
        <w:ind w:left="-991" w:leftChars="-472" w:right="-1050" w:rightChars="-500"/>
      </w:pPr>
    </w:p>
    <w:p w14:paraId="720E5B3C">
      <w:pPr>
        <w:ind w:right="-1050" w:rightChars="-500"/>
        <w:sectPr>
          <w:footerReference r:id="rId5" w:type="first"/>
          <w:pgSz w:w="11906" w:h="16838"/>
          <w:pgMar w:top="1440" w:right="1800" w:bottom="1440" w:left="1800" w:header="851" w:footer="992" w:gutter="0"/>
          <w:pgNumType w:start="1"/>
          <w:cols w:space="720" w:num="1"/>
          <w:docGrid w:type="lines" w:linePitch="312" w:charSpace="0"/>
        </w:sectPr>
      </w:pPr>
    </w:p>
    <w:p w14:paraId="7DE432A2">
      <w:pPr>
        <w:pStyle w:val="2"/>
        <w:spacing w:line="360" w:lineRule="auto"/>
        <w:jc w:val="center"/>
      </w:pPr>
      <w:bookmarkStart w:id="2" w:name="_Toc144974479"/>
      <w:bookmarkStart w:id="3" w:name="_Toc115196013"/>
      <w:bookmarkStart w:id="4" w:name="_Toc152042287"/>
      <w:bookmarkStart w:id="5" w:name="_Toc247527534"/>
      <w:bookmarkStart w:id="6" w:name="_Toc247513933"/>
      <w:bookmarkStart w:id="7" w:name="_Toc152045511"/>
      <w:bookmarkStart w:id="8" w:name="_Toc98503851"/>
      <w:r>
        <w:rPr>
          <w:rFonts w:hint="eastAsia"/>
        </w:rPr>
        <w:t>第一章 招标公告</w:t>
      </w:r>
      <w:bookmarkEnd w:id="2"/>
      <w:bookmarkEnd w:id="3"/>
      <w:bookmarkEnd w:id="4"/>
      <w:bookmarkEnd w:id="5"/>
      <w:bookmarkEnd w:id="6"/>
      <w:bookmarkEnd w:id="7"/>
      <w:bookmarkEnd w:id="8"/>
    </w:p>
    <w:p w14:paraId="5BE0D8A6">
      <w:pPr>
        <w:spacing w:line="240" w:lineRule="auto"/>
        <w:jc w:val="center"/>
        <w:rPr>
          <w:rFonts w:eastAsia="黑体"/>
          <w:sz w:val="28"/>
          <w:szCs w:val="28"/>
        </w:rPr>
      </w:pPr>
      <w:bookmarkStart w:id="9" w:name="_Toc111796777"/>
      <w:bookmarkStart w:id="10" w:name="_Toc111795864"/>
      <w:r>
        <w:rPr>
          <w:rFonts w:hint="eastAsia" w:eastAsia="黑体"/>
          <w:sz w:val="28"/>
          <w:szCs w:val="28"/>
          <w:lang w:eastAsia="zh-CN"/>
        </w:rPr>
        <w:t>盐城市联鑫钢铁有限公司优特钢升级改造项目（EPC）总承包</w:t>
      </w:r>
      <w:r>
        <w:rPr>
          <w:rFonts w:hint="eastAsia" w:eastAsia="黑体"/>
          <w:sz w:val="28"/>
          <w:szCs w:val="28"/>
        </w:rPr>
        <w:t>招标公告</w:t>
      </w:r>
      <w:bookmarkEnd w:id="9"/>
      <w:bookmarkEnd w:id="10"/>
      <w:r>
        <w:rPr>
          <w:rFonts w:eastAsia="黑体"/>
          <w:sz w:val="29"/>
          <w:szCs w:val="29"/>
        </w:rPr>
        <w:t xml:space="preserve"> </w:t>
      </w:r>
      <w:r>
        <w:rPr>
          <w:rFonts w:eastAsia="黑体"/>
          <w:sz w:val="20"/>
          <w:szCs w:val="20"/>
        </w:rPr>
        <w:t xml:space="preserve">               </w:t>
      </w:r>
    </w:p>
    <w:p w14:paraId="77562889">
      <w:pPr>
        <w:outlineLvl w:val="1"/>
        <w:rPr>
          <w:rFonts w:ascii="黑体" w:hAnsi="黑体" w:eastAsia="黑体" w:cs="黑体"/>
          <w:sz w:val="28"/>
          <w:szCs w:val="28"/>
        </w:rPr>
      </w:pPr>
      <w:bookmarkStart w:id="11" w:name="_Toc247513934"/>
      <w:bookmarkStart w:id="12" w:name="_Toc247527535"/>
      <w:bookmarkStart w:id="13" w:name="_Toc152045512"/>
      <w:bookmarkStart w:id="14" w:name="_Toc144974480"/>
      <w:bookmarkStart w:id="15" w:name="_Toc115196014"/>
      <w:bookmarkStart w:id="16" w:name="_Toc152042288"/>
      <w:r>
        <w:rPr>
          <w:rFonts w:hint="eastAsia" w:ascii="黑体" w:hAnsi="黑体" w:eastAsia="黑体" w:cs="黑体"/>
          <w:sz w:val="28"/>
          <w:szCs w:val="28"/>
        </w:rPr>
        <w:t>1. 招标条件</w:t>
      </w:r>
      <w:bookmarkEnd w:id="11"/>
      <w:bookmarkEnd w:id="12"/>
      <w:bookmarkEnd w:id="13"/>
      <w:bookmarkEnd w:id="14"/>
      <w:bookmarkEnd w:id="15"/>
      <w:bookmarkEnd w:id="16"/>
    </w:p>
    <w:p w14:paraId="4D8D3F7B">
      <w:pPr>
        <w:ind w:firstLine="430"/>
        <w:rPr>
          <w:szCs w:val="21"/>
        </w:rPr>
      </w:pPr>
      <w:r>
        <w:rPr>
          <w:rFonts w:hint="eastAsia"/>
          <w:szCs w:val="21"/>
          <w:lang w:eastAsia="zh-CN"/>
        </w:rPr>
        <w:t>盐城市联鑫钢铁有限公司优特钢升级改造项目</w:t>
      </w:r>
      <w:r>
        <w:rPr>
          <w:rFonts w:hint="eastAsia"/>
          <w:szCs w:val="21"/>
        </w:rPr>
        <w:t>已由</w:t>
      </w:r>
      <w:r>
        <w:t>项目审批机关批准</w:t>
      </w:r>
      <w:r>
        <w:rPr>
          <w:rFonts w:hint="eastAsia"/>
          <w:szCs w:val="21"/>
        </w:rPr>
        <w:t>，项目资金为私有资金，项目出资比例为100%，项目招标人为盐城市联鑫钢铁有限公司。本项目已具备招标条件，现对该项目的工程（EPC）总承包进行公开招标。</w:t>
      </w:r>
    </w:p>
    <w:p w14:paraId="72390819">
      <w:pPr>
        <w:outlineLvl w:val="1"/>
        <w:rPr>
          <w:rFonts w:ascii="黑体" w:hAnsi="黑体" w:eastAsia="黑体" w:cs="黑体"/>
          <w:sz w:val="28"/>
          <w:szCs w:val="28"/>
        </w:rPr>
      </w:pPr>
      <w:bookmarkStart w:id="17" w:name="_Toc152042289"/>
      <w:bookmarkStart w:id="18" w:name="_Toc115196015"/>
      <w:bookmarkStart w:id="19" w:name="_Toc144974481"/>
      <w:bookmarkStart w:id="20" w:name="_Toc247513935"/>
      <w:bookmarkStart w:id="21" w:name="_Toc152045513"/>
      <w:bookmarkStart w:id="22" w:name="_Toc247527536"/>
      <w:r>
        <w:rPr>
          <w:rFonts w:hint="eastAsia" w:ascii="黑体" w:hAnsi="黑体" w:eastAsia="黑体" w:cs="黑体"/>
          <w:sz w:val="28"/>
          <w:szCs w:val="28"/>
        </w:rPr>
        <w:t>2. 项目概况与招标范围</w:t>
      </w:r>
      <w:bookmarkEnd w:id="17"/>
      <w:bookmarkEnd w:id="18"/>
      <w:bookmarkEnd w:id="19"/>
      <w:bookmarkEnd w:id="20"/>
      <w:bookmarkEnd w:id="21"/>
      <w:bookmarkEnd w:id="22"/>
    </w:p>
    <w:p w14:paraId="6478A792">
      <w:pPr>
        <w:ind w:firstLine="420" w:firstLineChars="200"/>
        <w:rPr>
          <w:szCs w:val="21"/>
        </w:rPr>
      </w:pPr>
      <w:bookmarkStart w:id="23" w:name="_Hlk112828520"/>
      <w:r>
        <w:rPr>
          <w:rFonts w:hint="eastAsia"/>
          <w:szCs w:val="21"/>
        </w:rPr>
        <w:t>2.1</w:t>
      </w:r>
      <w:r>
        <w:rPr>
          <w:szCs w:val="21"/>
        </w:rPr>
        <w:t xml:space="preserve"> </w:t>
      </w:r>
      <w:r>
        <w:rPr>
          <w:rFonts w:hint="eastAsia"/>
          <w:szCs w:val="21"/>
        </w:rPr>
        <w:t>项目编号：</w:t>
      </w:r>
      <w:r>
        <w:rPr>
          <w:rFonts w:hint="eastAsia" w:cs="宋体"/>
          <w:sz w:val="24"/>
        </w:rPr>
        <w:t>YCLC-202</w:t>
      </w:r>
      <w:r>
        <w:rPr>
          <w:rFonts w:hint="eastAsia" w:cs="宋体"/>
          <w:sz w:val="24"/>
          <w:lang w:val="en-US" w:eastAsia="zh-CN"/>
        </w:rPr>
        <w:t>50205003</w:t>
      </w:r>
      <w:r>
        <w:rPr>
          <w:rFonts w:hint="eastAsia"/>
          <w:szCs w:val="21"/>
        </w:rPr>
        <w:t>。</w:t>
      </w:r>
    </w:p>
    <w:p w14:paraId="0376A025">
      <w:pPr>
        <w:ind w:firstLine="420" w:firstLineChars="200"/>
        <w:rPr>
          <w:szCs w:val="21"/>
        </w:rPr>
      </w:pPr>
      <w:r>
        <w:rPr>
          <w:rFonts w:hint="eastAsia"/>
          <w:szCs w:val="21"/>
        </w:rPr>
        <w:t>2.2</w:t>
      </w:r>
      <w:r>
        <w:rPr>
          <w:szCs w:val="21"/>
        </w:rPr>
        <w:t xml:space="preserve"> </w:t>
      </w:r>
      <w:r>
        <w:rPr>
          <w:rFonts w:hint="eastAsia"/>
          <w:szCs w:val="21"/>
        </w:rPr>
        <w:t>项目名称：</w:t>
      </w:r>
      <w:r>
        <w:rPr>
          <w:rFonts w:hint="eastAsia" w:asciiTheme="minorEastAsia" w:hAnsiTheme="minorEastAsia" w:eastAsiaTheme="minorEastAsia"/>
          <w:lang w:eastAsia="zh-CN"/>
        </w:rPr>
        <w:t>盐城市联鑫钢铁有限公司优特钢升级改造项目</w:t>
      </w:r>
      <w:r>
        <w:rPr>
          <w:rFonts w:hint="eastAsia"/>
          <w:szCs w:val="21"/>
        </w:rPr>
        <w:t>。</w:t>
      </w:r>
    </w:p>
    <w:p w14:paraId="7B4E6D8F">
      <w:pPr>
        <w:ind w:firstLine="420" w:firstLineChars="200"/>
        <w:rPr>
          <w:szCs w:val="21"/>
        </w:rPr>
      </w:pPr>
      <w:r>
        <w:rPr>
          <w:rFonts w:hint="eastAsia"/>
          <w:szCs w:val="21"/>
        </w:rPr>
        <w:t>2.3</w:t>
      </w:r>
      <w:r>
        <w:rPr>
          <w:szCs w:val="21"/>
        </w:rPr>
        <w:t xml:space="preserve"> </w:t>
      </w:r>
      <w:r>
        <w:rPr>
          <w:rFonts w:hint="eastAsia"/>
          <w:szCs w:val="21"/>
        </w:rPr>
        <w:t>建设地点：盐城市联鑫钢铁有限公司（</w:t>
      </w:r>
      <w:r>
        <w:rPr>
          <w:rFonts w:hint="eastAsia"/>
        </w:rPr>
        <w:t>江苏省盐城市大丰区大丰港经济区临港工业园</w:t>
      </w:r>
      <w:r>
        <w:rPr>
          <w:rFonts w:hint="eastAsia"/>
          <w:szCs w:val="21"/>
        </w:rPr>
        <w:t>）厂区内指定地点。</w:t>
      </w:r>
    </w:p>
    <w:p w14:paraId="06C4EDFD">
      <w:pPr>
        <w:widowControl/>
        <w:topLinePunct/>
        <w:ind w:firstLine="420" w:firstLineChars="200"/>
        <w:rPr>
          <w:rFonts w:hint="eastAsia"/>
          <w:szCs w:val="21"/>
        </w:rPr>
      </w:pPr>
      <w:r>
        <w:rPr>
          <w:rFonts w:hint="eastAsia"/>
          <w:szCs w:val="21"/>
        </w:rPr>
        <w:t>2.4建设批复规模：盐城市联鑫钢铁有限公司优特钢升级改造项目工程总承包包括：炼钢连铸单元与轧钢单元，本单元为炼钢连铸工程。</w:t>
      </w:r>
    </w:p>
    <w:p w14:paraId="32938F2E">
      <w:pPr>
        <w:widowControl/>
        <w:topLinePunct/>
        <w:ind w:firstLine="420" w:firstLineChars="200"/>
        <w:rPr>
          <w:rFonts w:hint="eastAsia"/>
          <w:szCs w:val="21"/>
        </w:rPr>
      </w:pPr>
      <w:r>
        <w:rPr>
          <w:rFonts w:hint="eastAsia"/>
          <w:szCs w:val="21"/>
        </w:rPr>
        <w:t>连铸连铸单元年产合格连铸坯120万t。本次总承包范围包括：新建2套单工位LF炉精炼装置，一座双工位VD，改造现有转炉合金上料加料系统以及转炉副原料加料系统，1台7机7流的方圆坯连铸机，以及相关的配套公辅系统改造、旧有设施拆除。服务范围包括上述供货范围的设计、采购、施工、安装、调试、无负荷联动试车、配合热试、配合试运行、人员培训及相关服务。</w:t>
      </w:r>
    </w:p>
    <w:p w14:paraId="67BDFA68">
      <w:pPr>
        <w:widowControl/>
        <w:topLinePunct/>
        <w:ind w:firstLine="420" w:firstLineChars="200"/>
        <w:rPr>
          <w:szCs w:val="21"/>
        </w:rPr>
      </w:pPr>
      <w:r>
        <w:rPr>
          <w:szCs w:val="21"/>
        </w:rPr>
        <w:t>项目批复主要内容：</w:t>
      </w:r>
    </w:p>
    <w:p w14:paraId="65F2C454">
      <w:pPr>
        <w:widowControl/>
        <w:topLinePunct/>
        <w:ind w:firstLine="420" w:firstLineChars="200"/>
        <w:rPr>
          <w:szCs w:val="21"/>
        </w:rPr>
      </w:pPr>
      <w:r>
        <w:rPr>
          <w:rFonts w:hint="eastAsia"/>
          <w:szCs w:val="21"/>
        </w:rPr>
        <w:t>（1）现行国家、地方等颁布的现行工程设计、施工、安装、检验规范、规程及相关的技术标准。</w:t>
      </w:r>
    </w:p>
    <w:p w14:paraId="13A3903D">
      <w:pPr>
        <w:widowControl/>
        <w:topLinePunct/>
        <w:ind w:firstLine="420" w:firstLineChars="200"/>
        <w:rPr>
          <w:szCs w:val="21"/>
        </w:rPr>
      </w:pPr>
      <w:r>
        <w:rPr>
          <w:rFonts w:hint="eastAsia"/>
          <w:szCs w:val="21"/>
        </w:rPr>
        <w:t>（2）甲方提供的相关原始资料。</w:t>
      </w:r>
    </w:p>
    <w:p w14:paraId="6377A19B">
      <w:pPr>
        <w:widowControl/>
        <w:topLinePunct/>
        <w:ind w:firstLine="420" w:firstLineChars="200"/>
        <w:rPr>
          <w:szCs w:val="21"/>
        </w:rPr>
      </w:pPr>
      <w:r>
        <w:rPr>
          <w:rFonts w:hint="eastAsia"/>
          <w:szCs w:val="21"/>
        </w:rPr>
        <w:t>（3）现场建设条件。</w:t>
      </w:r>
    </w:p>
    <w:p w14:paraId="7D69A85F">
      <w:pPr>
        <w:widowControl/>
        <w:topLinePunct/>
        <w:ind w:firstLine="420" w:firstLineChars="200"/>
        <w:rPr>
          <w:szCs w:val="21"/>
        </w:rPr>
      </w:pPr>
      <w:r>
        <w:rPr>
          <w:rFonts w:hint="eastAsia"/>
          <w:szCs w:val="21"/>
        </w:rPr>
        <w:t>（4）建设条件。</w:t>
      </w:r>
    </w:p>
    <w:p w14:paraId="4F74F30D">
      <w:pPr>
        <w:widowControl/>
        <w:topLinePunct/>
        <w:ind w:firstLine="420" w:firstLineChars="200"/>
        <w:rPr>
          <w:szCs w:val="21"/>
        </w:rPr>
      </w:pPr>
      <w:r>
        <w:rPr>
          <w:rFonts w:hint="eastAsia"/>
          <w:szCs w:val="21"/>
        </w:rPr>
        <w:t>为保证施工需要，甲方负责提供本工程红线范围内、满足施工所需负荷的如下接口条件：</w:t>
      </w:r>
    </w:p>
    <w:p w14:paraId="6FF6A555">
      <w:pPr>
        <w:widowControl/>
        <w:topLinePunct/>
        <w:ind w:firstLine="420" w:firstLineChars="200"/>
        <w:rPr>
          <w:szCs w:val="21"/>
        </w:rPr>
      </w:pPr>
      <w:r>
        <w:rPr>
          <w:rFonts w:hint="eastAsia"/>
          <w:szCs w:val="21"/>
        </w:rPr>
        <w:t>电源：施工电源；</w:t>
      </w:r>
    </w:p>
    <w:p w14:paraId="63C830B3">
      <w:pPr>
        <w:widowControl/>
        <w:topLinePunct/>
        <w:ind w:firstLine="420" w:firstLineChars="200"/>
        <w:rPr>
          <w:szCs w:val="21"/>
        </w:rPr>
      </w:pPr>
      <w:r>
        <w:rPr>
          <w:rFonts w:hint="eastAsia"/>
          <w:szCs w:val="21"/>
        </w:rPr>
        <w:t>水源：施工水源；</w:t>
      </w:r>
    </w:p>
    <w:p w14:paraId="4CDA031C">
      <w:pPr>
        <w:widowControl/>
        <w:topLinePunct/>
        <w:ind w:firstLine="420" w:firstLineChars="200"/>
        <w:rPr>
          <w:szCs w:val="21"/>
        </w:rPr>
      </w:pPr>
      <w:r>
        <w:rPr>
          <w:rFonts w:hint="eastAsia"/>
          <w:szCs w:val="21"/>
        </w:rPr>
        <w:t>排水：施工废水排水口；</w:t>
      </w:r>
    </w:p>
    <w:p w14:paraId="0512DC99">
      <w:pPr>
        <w:widowControl/>
        <w:topLinePunct/>
        <w:ind w:firstLine="420" w:firstLineChars="200"/>
        <w:rPr>
          <w:szCs w:val="21"/>
        </w:rPr>
      </w:pPr>
      <w:r>
        <w:rPr>
          <w:rFonts w:hint="eastAsia"/>
          <w:szCs w:val="21"/>
        </w:rPr>
        <w:t>交通：施工用道路；</w:t>
      </w:r>
    </w:p>
    <w:p w14:paraId="0CCB1DFB">
      <w:pPr>
        <w:widowControl/>
        <w:topLinePunct/>
        <w:ind w:firstLine="420" w:firstLineChars="200"/>
        <w:rPr>
          <w:szCs w:val="21"/>
        </w:rPr>
      </w:pPr>
      <w:r>
        <w:rPr>
          <w:rFonts w:hint="eastAsia"/>
          <w:szCs w:val="21"/>
        </w:rPr>
        <w:t>通讯：厂内电话及网络；</w:t>
      </w:r>
    </w:p>
    <w:p w14:paraId="6030852A">
      <w:pPr>
        <w:widowControl/>
        <w:topLinePunct/>
        <w:ind w:firstLine="420" w:firstLineChars="200"/>
        <w:rPr>
          <w:szCs w:val="21"/>
        </w:rPr>
      </w:pPr>
      <w:r>
        <w:rPr>
          <w:rFonts w:hint="eastAsia"/>
          <w:szCs w:val="21"/>
        </w:rPr>
        <w:t>2.</w:t>
      </w:r>
      <w:r>
        <w:rPr>
          <w:szCs w:val="21"/>
        </w:rPr>
        <w:t xml:space="preserve">5 </w:t>
      </w:r>
      <w:r>
        <w:rPr>
          <w:rFonts w:hint="eastAsia"/>
          <w:szCs w:val="21"/>
        </w:rPr>
        <w:t>招标范围：投标人负责自合同签订之日起至本项目完成全部质保期服务为止的全过程实施及服务，应至少包含以下内容：新建2套单工位LF炉精炼装置，一座双工位VD，改造现有转炉合金上料加料系统以及转炉副原料加料系统，1台7机7流的方圆坯连铸机，以及相关的配套公辅系统改造、旧有设施拆除。服务范围包括上述供货范围的设计、采购、施工、安装、调试、无负荷联动试车、配合热试、配合试运行、人员培训及相关服务。</w:t>
      </w:r>
    </w:p>
    <w:bookmarkEnd w:id="23"/>
    <w:p w14:paraId="44B20C74">
      <w:pPr>
        <w:ind w:firstLine="420" w:firstLineChars="200"/>
      </w:pPr>
      <w:r>
        <w:rPr>
          <w:rFonts w:hint="eastAsia"/>
          <w:szCs w:val="21"/>
        </w:rPr>
        <w:t>2.</w:t>
      </w:r>
      <w:r>
        <w:rPr>
          <w:szCs w:val="21"/>
        </w:rPr>
        <w:t>6</w:t>
      </w:r>
      <w:r>
        <w:rPr>
          <w:rFonts w:hint="eastAsia"/>
          <w:szCs w:val="21"/>
        </w:rPr>
        <w:t>最高投标限价（含税、人民币）：</w:t>
      </w:r>
      <w:r>
        <w:rPr>
          <w:rFonts w:hint="eastAsia"/>
          <w:szCs w:val="21"/>
          <w:highlight w:val="none"/>
          <w:lang w:val="en-US" w:eastAsia="zh-CN"/>
        </w:rPr>
        <w:t>6</w:t>
      </w:r>
      <w:r>
        <w:rPr>
          <w:rFonts w:hint="eastAsia"/>
          <w:szCs w:val="21"/>
          <w:highlight w:val="none"/>
        </w:rPr>
        <w:t>5000万</w:t>
      </w:r>
      <w:r>
        <w:rPr>
          <w:rFonts w:hint="eastAsia"/>
          <w:szCs w:val="21"/>
        </w:rPr>
        <w:t xml:space="preserve">元； </w:t>
      </w:r>
      <w:r>
        <w:t xml:space="preserve">     </w:t>
      </w:r>
    </w:p>
    <w:p w14:paraId="3DB390E5">
      <w:pPr>
        <w:ind w:firstLine="422" w:firstLineChars="200"/>
        <w:rPr>
          <w:rFonts w:hint="eastAsia"/>
          <w:szCs w:val="21"/>
        </w:rPr>
      </w:pPr>
      <w:r>
        <w:rPr>
          <w:rFonts w:hint="eastAsia"/>
          <w:b/>
          <w:bCs/>
          <w:szCs w:val="21"/>
        </w:rPr>
        <w:t>超过最高投标限价</w:t>
      </w:r>
      <w:r>
        <w:rPr>
          <w:rFonts w:hint="eastAsia"/>
          <w:szCs w:val="21"/>
        </w:rPr>
        <w:t>按照无效投标处理。</w:t>
      </w:r>
    </w:p>
    <w:p w14:paraId="420A8BF1">
      <w:pPr>
        <w:ind w:firstLine="420" w:firstLineChars="200"/>
        <w:rPr>
          <w:rFonts w:hint="default"/>
          <w:szCs w:val="21"/>
          <w:lang w:val="en-US" w:eastAsia="zh-CN"/>
        </w:rPr>
      </w:pPr>
      <w:r>
        <w:rPr>
          <w:rFonts w:hint="eastAsia"/>
          <w:szCs w:val="21"/>
        </w:rPr>
        <w:t>2.7 计划总工期：</w:t>
      </w:r>
      <w:bookmarkStart w:id="24" w:name="_Toc144974482"/>
      <w:bookmarkStart w:id="25" w:name="_Toc247527537"/>
      <w:bookmarkStart w:id="26" w:name="_Toc152045514"/>
      <w:bookmarkStart w:id="27" w:name="_Toc247513936"/>
      <w:bookmarkStart w:id="28" w:name="_Toc152042290"/>
      <w:r>
        <w:rPr>
          <w:rFonts w:hint="eastAsia"/>
          <w:szCs w:val="21"/>
        </w:rPr>
        <w:t>LF炉8个月具备投产条件，VD炉和连铸11个月具备投产条件，轧钢于引进设备运抵现场后3个月具备投产条件；工期有±15天的调整时间。</w:t>
      </w:r>
    </w:p>
    <w:p w14:paraId="0AE430FC">
      <w:pPr>
        <w:outlineLvl w:val="1"/>
        <w:rPr>
          <w:rFonts w:ascii="黑体" w:hAnsi="黑体" w:eastAsia="黑体" w:cs="黑体"/>
          <w:sz w:val="28"/>
          <w:szCs w:val="28"/>
        </w:rPr>
      </w:pPr>
      <w:bookmarkStart w:id="29" w:name="_Toc115196016"/>
      <w:r>
        <w:rPr>
          <w:rFonts w:hint="eastAsia" w:ascii="黑体" w:hAnsi="黑体" w:eastAsia="黑体" w:cs="黑体"/>
          <w:sz w:val="28"/>
          <w:szCs w:val="28"/>
        </w:rPr>
        <w:t>3. 投标人资格要求</w:t>
      </w:r>
      <w:bookmarkEnd w:id="24"/>
      <w:bookmarkEnd w:id="25"/>
      <w:bookmarkEnd w:id="26"/>
      <w:bookmarkEnd w:id="27"/>
      <w:bookmarkEnd w:id="28"/>
      <w:bookmarkEnd w:id="29"/>
    </w:p>
    <w:p w14:paraId="78D3CF8F">
      <w:pPr>
        <w:ind w:firstLine="420" w:firstLineChars="200"/>
        <w:rPr>
          <w:rFonts w:cs="宋体"/>
        </w:rPr>
      </w:pPr>
      <w:r>
        <w:rPr>
          <w:rFonts w:cs="宋体"/>
        </w:rPr>
        <w:t>3.1</w:t>
      </w:r>
      <w:r>
        <w:rPr>
          <w:rFonts w:hint="eastAsia" w:cs="宋体"/>
        </w:rPr>
        <w:t>投标人必须是在中华人民共和国境内注册并合法运作的法人或其他组织，具有独立承担民事责任的能力，具有良好的商业信誉和健全的财务会计制度。</w:t>
      </w:r>
    </w:p>
    <w:p w14:paraId="3E765F4C">
      <w:pPr>
        <w:ind w:firstLine="420" w:firstLineChars="200"/>
        <w:rPr>
          <w:rFonts w:cs="宋体"/>
        </w:rPr>
      </w:pPr>
      <w:r>
        <w:rPr>
          <w:rFonts w:cs="宋体"/>
        </w:rPr>
        <w:t>3.2</w:t>
      </w:r>
      <w:r>
        <w:rPr>
          <w:rFonts w:hint="eastAsia" w:cs="宋体"/>
        </w:rPr>
        <w:t>投标人具有履行合同所必需的设备和专业技术能力。</w:t>
      </w:r>
    </w:p>
    <w:p w14:paraId="6FC70A90">
      <w:pPr>
        <w:ind w:firstLine="420" w:firstLineChars="200"/>
      </w:pPr>
      <w:r>
        <w:t>3.</w:t>
      </w:r>
      <w:r>
        <w:rPr>
          <w:rFonts w:hint="eastAsia"/>
        </w:rPr>
        <w:t>3本次招标接受联合体投标。</w:t>
      </w:r>
    </w:p>
    <w:p w14:paraId="7C1F296D">
      <w:pPr>
        <w:ind w:firstLine="420" w:firstLineChars="200"/>
      </w:pPr>
      <w:r>
        <w:rPr>
          <w:rFonts w:hint="eastAsia"/>
        </w:rPr>
        <w:t>联合体投标的，应满足下列要求：</w:t>
      </w:r>
    </w:p>
    <w:p w14:paraId="60B7660C">
      <w:pPr>
        <w:ind w:firstLine="420" w:firstLineChars="200"/>
      </w:pPr>
      <w:r>
        <w:rPr>
          <w:rFonts w:hint="eastAsia"/>
        </w:rPr>
        <w:t>（1）联合体由一家设计单位和一家施工单位组成，设计单位须具有相应的设计资质，施工单位须具有相应的施工资质，以设计单位为联合体牵头人（须在联合体协议中明确分工）；</w:t>
      </w:r>
    </w:p>
    <w:p w14:paraId="1842F8BC">
      <w:pPr>
        <w:ind w:firstLine="420" w:firstLineChars="200"/>
      </w:pPr>
      <w:r>
        <w:rPr>
          <w:rFonts w:hint="eastAsia"/>
        </w:rPr>
        <w:t>（2）联合体各方主体之间必须签订内容具体、分工明确、权责清晰的联合体协议,具体内容应参照招标文件联合体协议内容要求；</w:t>
      </w:r>
    </w:p>
    <w:p w14:paraId="67C4420F">
      <w:pPr>
        <w:ind w:firstLine="420" w:firstLineChars="200"/>
      </w:pPr>
      <w:r>
        <w:rPr>
          <w:rFonts w:hint="eastAsia"/>
        </w:rPr>
        <w:t>（</w:t>
      </w:r>
      <w:r>
        <w:t>3）</w:t>
      </w:r>
      <w:r>
        <w:rPr>
          <w:rFonts w:hint="eastAsia"/>
        </w:rPr>
        <w:t>联合体各方不得再以自己的名义单独或参加其他联合体在本次招标中投标，否则，相关投标均视为无效投标</w:t>
      </w:r>
      <w:r>
        <w:t>。</w:t>
      </w:r>
    </w:p>
    <w:p w14:paraId="27566E4E">
      <w:pPr>
        <w:ind w:firstLine="420" w:firstLineChars="200"/>
        <w:rPr>
          <w:szCs w:val="21"/>
        </w:rPr>
      </w:pPr>
      <w:r>
        <w:t>3.</w:t>
      </w:r>
      <w:r>
        <w:rPr>
          <w:rFonts w:hint="eastAsia"/>
        </w:rPr>
        <w:t>4</w:t>
      </w:r>
      <w:r>
        <w:rPr>
          <w:rFonts w:hint="eastAsia"/>
          <w:szCs w:val="21"/>
        </w:rPr>
        <w:t>资质要求：投标人应具有符合招标文件要求的设计资质和施工资质，其中：</w:t>
      </w:r>
    </w:p>
    <w:p w14:paraId="44BB17D5">
      <w:pPr>
        <w:ind w:firstLine="420" w:firstLineChars="200"/>
        <w:rPr>
          <w:rFonts w:hint="default"/>
          <w:szCs w:val="21"/>
          <w:lang w:val="en-US" w:eastAsia="zh-CN"/>
        </w:rPr>
      </w:pPr>
      <w:r>
        <w:rPr>
          <w:rFonts w:hint="eastAsia"/>
          <w:szCs w:val="21"/>
          <w:lang w:val="en-US" w:eastAsia="zh-CN"/>
        </w:rPr>
        <w:t>3</w:t>
      </w:r>
      <w:r>
        <w:rPr>
          <w:rFonts w:hint="default"/>
          <w:szCs w:val="21"/>
          <w:lang w:val="en-US" w:eastAsia="zh-CN"/>
        </w:rPr>
        <w:t>.</w:t>
      </w:r>
      <w:r>
        <w:rPr>
          <w:rFonts w:hint="eastAsia"/>
          <w:szCs w:val="21"/>
          <w:lang w:val="en-US" w:eastAsia="zh-CN"/>
        </w:rPr>
        <w:t>4</w:t>
      </w:r>
      <w:r>
        <w:rPr>
          <w:rFonts w:hint="default"/>
          <w:szCs w:val="21"/>
          <w:lang w:val="en-US" w:eastAsia="zh-CN"/>
        </w:rPr>
        <w:t>.1</w:t>
      </w:r>
      <w:r>
        <w:rPr>
          <w:rFonts w:hint="eastAsia"/>
          <w:szCs w:val="21"/>
          <w:lang w:val="en-US" w:eastAsia="zh-CN"/>
        </w:rPr>
        <w:t>设计资质：具有建设工程行政主管部门颁发的工程设计综合甲级资质或</w:t>
      </w:r>
      <w:r>
        <w:rPr>
          <w:rFonts w:hint="default"/>
          <w:szCs w:val="21"/>
          <w:lang w:val="en-US" w:eastAsia="zh-CN"/>
        </w:rPr>
        <w:t>冶金工程设计建筑行业甲级</w:t>
      </w:r>
      <w:r>
        <w:rPr>
          <w:rFonts w:hint="eastAsia"/>
          <w:szCs w:val="21"/>
          <w:lang w:val="en-US" w:eastAsia="zh-CN"/>
        </w:rPr>
        <w:t>或</w:t>
      </w:r>
      <w:r>
        <w:rPr>
          <w:rFonts w:hint="default"/>
          <w:szCs w:val="21"/>
          <w:lang w:val="en-US" w:eastAsia="zh-CN"/>
        </w:rPr>
        <w:t>工程设计建筑行业（建筑工程）甲级</w:t>
      </w:r>
      <w:r>
        <w:rPr>
          <w:rFonts w:hint="eastAsia"/>
          <w:szCs w:val="21"/>
          <w:lang w:val="en-US" w:eastAsia="zh-CN"/>
        </w:rPr>
        <w:t>。</w:t>
      </w:r>
    </w:p>
    <w:p w14:paraId="6F3CD15E">
      <w:pPr>
        <w:ind w:firstLine="420" w:firstLineChars="200"/>
        <w:rPr>
          <w:rFonts w:hint="default"/>
          <w:szCs w:val="21"/>
          <w:lang w:val="en-US" w:eastAsia="zh-CN"/>
        </w:rPr>
      </w:pPr>
      <w:r>
        <w:rPr>
          <w:rFonts w:hint="eastAsia"/>
          <w:szCs w:val="21"/>
          <w:lang w:val="en-US" w:eastAsia="zh-CN"/>
        </w:rPr>
        <w:t>3</w:t>
      </w:r>
      <w:r>
        <w:rPr>
          <w:rFonts w:hint="default"/>
          <w:szCs w:val="21"/>
          <w:lang w:val="en-US" w:eastAsia="zh-CN"/>
        </w:rPr>
        <w:t>.</w:t>
      </w:r>
      <w:r>
        <w:rPr>
          <w:rFonts w:hint="eastAsia"/>
          <w:szCs w:val="21"/>
          <w:lang w:val="en-US" w:eastAsia="zh-CN"/>
        </w:rPr>
        <w:t>4</w:t>
      </w:r>
      <w:r>
        <w:rPr>
          <w:rFonts w:hint="default"/>
          <w:szCs w:val="21"/>
          <w:lang w:val="en-US" w:eastAsia="zh-CN"/>
        </w:rPr>
        <w:t>.2</w:t>
      </w:r>
      <w:r>
        <w:rPr>
          <w:rFonts w:hint="eastAsia"/>
          <w:szCs w:val="21"/>
          <w:lang w:val="en-US" w:eastAsia="zh-CN"/>
        </w:rPr>
        <w:t>施工资质：具有建设工程行政主管部门颁发的</w:t>
      </w:r>
      <w:r>
        <w:rPr>
          <w:rFonts w:hint="default"/>
          <w:szCs w:val="21"/>
          <w:lang w:val="en-US" w:eastAsia="zh-CN"/>
        </w:rPr>
        <w:t>冶金工程施工总承包壹级</w:t>
      </w:r>
      <w:r>
        <w:rPr>
          <w:rFonts w:hint="eastAsia"/>
          <w:szCs w:val="21"/>
          <w:lang w:val="en-US" w:eastAsia="zh-CN"/>
        </w:rPr>
        <w:t>或者建筑工程施工（EPC）总承包二级资质及有效的安全生产许可证。</w:t>
      </w:r>
    </w:p>
    <w:p w14:paraId="7930601F">
      <w:pPr>
        <w:ind w:firstLine="420" w:firstLineChars="200"/>
        <w:rPr>
          <w:szCs w:val="21"/>
        </w:rPr>
      </w:pPr>
      <w:r>
        <w:rPr>
          <w:rFonts w:hint="eastAsia"/>
          <w:szCs w:val="21"/>
        </w:rPr>
        <w:t>注：按照《建设工程企业资质管理制度改革方案》规定，上述资质对应的新资质同样有效。</w:t>
      </w:r>
    </w:p>
    <w:p w14:paraId="005F43BD">
      <w:pPr>
        <w:ind w:firstLine="420" w:firstLineChars="200"/>
      </w:pPr>
      <w:r>
        <w:t>3.</w:t>
      </w:r>
      <w:r>
        <w:rPr>
          <w:rFonts w:hint="eastAsia"/>
        </w:rPr>
        <w:t>5</w:t>
      </w:r>
      <w:r>
        <w:t>人员要求</w:t>
      </w:r>
      <w:r>
        <w:rPr>
          <w:rFonts w:hint="eastAsia"/>
        </w:rPr>
        <w:t>：</w:t>
      </w:r>
    </w:p>
    <w:p w14:paraId="3D4ECFE5">
      <w:pPr>
        <w:ind w:firstLine="420" w:firstLineChars="200"/>
      </w:pPr>
      <w:r>
        <w:rPr>
          <w:rFonts w:hint="eastAsia"/>
        </w:rPr>
        <w:t>（1）工程（EPC）总承包项目经理应同时具备以下条件：</w:t>
      </w:r>
    </w:p>
    <w:p w14:paraId="3C48A154">
      <w:pPr>
        <w:ind w:firstLine="420" w:firstLineChars="200"/>
        <w:rPr>
          <w:rFonts w:hint="eastAsia"/>
          <w:szCs w:val="21"/>
          <w:lang w:val="en-US" w:eastAsia="zh-CN"/>
        </w:rPr>
      </w:pPr>
      <w:r>
        <w:rPr>
          <w:rFonts w:hint="eastAsia"/>
          <w:szCs w:val="21"/>
          <w:lang w:val="en-US" w:eastAsia="zh-CN"/>
        </w:rPr>
        <w:t>1）取得相应工程建设类注册执业资格，包括国家一级注册建筑师或勘察设计注册工程师（一级注册结构工程师或者注册公用设备工程师）或国家一级注册建造师（建筑工程专业或机电工程专业）或注册监理工程师（房屋建筑工程专业或机电安装工程专业），且无在建项目。</w:t>
      </w:r>
    </w:p>
    <w:p w14:paraId="43275A4B">
      <w:pPr>
        <w:ind w:firstLine="420" w:firstLineChars="200"/>
        <w:rPr>
          <w:rFonts w:hint="eastAsia"/>
          <w:szCs w:val="21"/>
          <w:lang w:val="en-US" w:eastAsia="zh-CN"/>
        </w:rPr>
      </w:pPr>
      <w:r>
        <w:rPr>
          <w:rFonts w:hint="eastAsia"/>
          <w:szCs w:val="21"/>
          <w:lang w:val="en-US" w:eastAsia="zh-CN"/>
        </w:rPr>
        <w:t>2）其中注册建造师应具有有效的安全生产考核合格证书（B证）。</w:t>
      </w:r>
    </w:p>
    <w:p w14:paraId="679D186A">
      <w:pPr>
        <w:ind w:firstLine="420" w:firstLineChars="200"/>
        <w:rPr>
          <w:rFonts w:hint="eastAsia"/>
          <w:szCs w:val="21"/>
          <w:lang w:val="en-US" w:eastAsia="zh-CN"/>
        </w:rPr>
      </w:pPr>
      <w:r>
        <w:rPr>
          <w:rFonts w:hint="eastAsia"/>
          <w:szCs w:val="21"/>
          <w:lang w:val="en-US" w:eastAsia="zh-CN"/>
        </w:rPr>
        <w:t>3）投标时，投标人应承诺在本项目中标后其委派的项目经理不在其他工程（EPC）总承包或施工（EPC）总承包项目中担任项目经理。</w:t>
      </w:r>
    </w:p>
    <w:p w14:paraId="13EFD0CF">
      <w:pPr>
        <w:ind w:firstLine="420" w:firstLineChars="200"/>
        <w:rPr>
          <w:rFonts w:hint="eastAsia"/>
        </w:rPr>
      </w:pPr>
      <w:r>
        <w:rPr>
          <w:rFonts w:hint="eastAsia"/>
        </w:rPr>
        <w:t>4）须为本单位在职人员，且不得兼任本项目的设计负责人或施工负责人。</w:t>
      </w:r>
    </w:p>
    <w:p w14:paraId="4088002F">
      <w:pPr>
        <w:ind w:firstLine="420" w:firstLineChars="200"/>
      </w:pPr>
      <w:r>
        <w:rPr>
          <w:rFonts w:hint="eastAsia"/>
        </w:rPr>
        <w:t>3</w:t>
      </w:r>
      <w:r>
        <w:t>.12</w:t>
      </w:r>
      <w:r>
        <w:rPr>
          <w:rFonts w:hint="eastAsia"/>
        </w:rPr>
        <w:t>资格审查方式：资格后审。</w:t>
      </w:r>
    </w:p>
    <w:p w14:paraId="3ED03874">
      <w:pPr>
        <w:outlineLvl w:val="1"/>
        <w:rPr>
          <w:rFonts w:ascii="黑体" w:hAnsi="黑体" w:eastAsia="黑体" w:cs="黑体"/>
          <w:sz w:val="28"/>
          <w:szCs w:val="28"/>
        </w:rPr>
      </w:pPr>
      <w:bookmarkStart w:id="30" w:name="_Toc115196017"/>
      <w:r>
        <w:rPr>
          <w:rFonts w:ascii="黑体" w:hAnsi="黑体" w:eastAsia="黑体" w:cs="黑体"/>
          <w:sz w:val="28"/>
          <w:szCs w:val="28"/>
        </w:rPr>
        <w:t xml:space="preserve">4. </w:t>
      </w:r>
      <w:r>
        <w:rPr>
          <w:rFonts w:hint="eastAsia" w:ascii="黑体" w:hAnsi="黑体" w:eastAsia="黑体" w:cs="黑体"/>
          <w:sz w:val="28"/>
          <w:szCs w:val="28"/>
        </w:rPr>
        <w:t>招标文件的获取</w:t>
      </w:r>
      <w:bookmarkEnd w:id="30"/>
    </w:p>
    <w:p w14:paraId="0CD5AB95">
      <w:pPr>
        <w:ind w:firstLine="420" w:firstLineChars="200"/>
        <w:rPr>
          <w:szCs w:val="21"/>
          <w:highlight w:val="cyan"/>
        </w:rPr>
      </w:pPr>
      <w:bookmarkStart w:id="31" w:name="_Toc247513938"/>
      <w:bookmarkStart w:id="32" w:name="_Toc152042292"/>
      <w:bookmarkStart w:id="33" w:name="_Toc247527539"/>
      <w:bookmarkStart w:id="34" w:name="_Toc144974484"/>
      <w:bookmarkStart w:id="35" w:name="_Toc152045516"/>
      <w:r>
        <w:rPr>
          <w:szCs w:val="21"/>
        </w:rPr>
        <w:t>4.1 招标文件提供期限：202</w:t>
      </w:r>
      <w:r>
        <w:rPr>
          <w:rFonts w:hint="eastAsia"/>
          <w:szCs w:val="21"/>
          <w:lang w:val="en-US" w:eastAsia="zh-CN"/>
        </w:rPr>
        <w:t>5</w:t>
      </w:r>
      <w:r>
        <w:rPr>
          <w:szCs w:val="21"/>
        </w:rPr>
        <w:t>年</w:t>
      </w:r>
      <w:r>
        <w:rPr>
          <w:rFonts w:hint="eastAsia"/>
          <w:szCs w:val="21"/>
          <w:lang w:val="en-US" w:eastAsia="zh-CN"/>
        </w:rPr>
        <w:t>2</w:t>
      </w:r>
      <w:r>
        <w:rPr>
          <w:szCs w:val="21"/>
        </w:rPr>
        <w:t>月</w:t>
      </w:r>
      <w:r>
        <w:rPr>
          <w:rFonts w:hint="eastAsia"/>
          <w:szCs w:val="21"/>
          <w:lang w:val="en-US" w:eastAsia="zh-CN"/>
        </w:rPr>
        <w:t xml:space="preserve"> 17 </w:t>
      </w:r>
      <w:r>
        <w:rPr>
          <w:szCs w:val="21"/>
        </w:rPr>
        <w:t>日</w:t>
      </w:r>
      <w:r>
        <w:rPr>
          <w:rFonts w:hint="eastAsia"/>
          <w:szCs w:val="21"/>
        </w:rPr>
        <w:t>08</w:t>
      </w:r>
      <w:r>
        <w:rPr>
          <w:szCs w:val="21"/>
        </w:rPr>
        <w:t>时</w:t>
      </w:r>
      <w:r>
        <w:rPr>
          <w:rFonts w:hint="eastAsia"/>
          <w:szCs w:val="21"/>
        </w:rPr>
        <w:t>00</w:t>
      </w:r>
      <w:r>
        <w:rPr>
          <w:szCs w:val="21"/>
        </w:rPr>
        <w:t>分至</w:t>
      </w:r>
      <w:r>
        <w:rPr>
          <w:rFonts w:hint="eastAsia"/>
          <w:szCs w:val="21"/>
          <w:lang w:val="en-US" w:eastAsia="zh-CN"/>
        </w:rPr>
        <w:t>2025年2月21日17时00分止</w:t>
      </w:r>
      <w:r>
        <w:rPr>
          <w:szCs w:val="21"/>
        </w:rPr>
        <w:t>。</w:t>
      </w:r>
    </w:p>
    <w:p w14:paraId="37B07728">
      <w:pPr>
        <w:ind w:firstLine="420" w:firstLineChars="200"/>
      </w:pPr>
      <w:r>
        <w:rPr>
          <w:rFonts w:hint="eastAsia"/>
        </w:rPr>
        <w:t>4.2</w:t>
      </w:r>
      <w:r>
        <w:t>招标文件获取方式：现场领取招标文件,如投标人确定参加投标，请于规定时间内被</w:t>
      </w:r>
    </w:p>
    <w:p w14:paraId="770188E6">
      <w:pPr>
        <w:ind w:firstLine="420" w:firstLineChars="200"/>
      </w:pPr>
      <w:r>
        <w:t>授权人持法定代表人授权委托书原件、被授权人身份证原件及复印件、营业执照副本复印件加盖投标人公章至</w:t>
      </w:r>
      <w:r>
        <w:rPr>
          <w:rFonts w:hint="eastAsia"/>
        </w:rPr>
        <w:t>盐城林辰项目管理有限公司</w:t>
      </w:r>
      <w:r>
        <w:t>代理部（</w:t>
      </w:r>
      <w:r>
        <w:rPr>
          <w:rFonts w:hint="eastAsia"/>
        </w:rPr>
        <w:t>盐城大丰区金融大厦1609室</w:t>
      </w:r>
      <w:r>
        <w:t>）投标登记，如投标人未按上述要求去做，将自行承担所产生的风险。请各投标人在规定时间内携</w:t>
      </w:r>
    </w:p>
    <w:p w14:paraId="222EEDBF">
      <w:pPr>
        <w:rPr>
          <w:szCs w:val="21"/>
          <w:highlight w:val="cyan"/>
        </w:rPr>
      </w:pPr>
      <w:r>
        <w:t>带符合要求的有效期内的所有投标登记资料，否则不予接受登记。</w:t>
      </w:r>
    </w:p>
    <w:bookmarkEnd w:id="31"/>
    <w:bookmarkEnd w:id="32"/>
    <w:bookmarkEnd w:id="33"/>
    <w:bookmarkEnd w:id="34"/>
    <w:bookmarkEnd w:id="35"/>
    <w:p w14:paraId="0C904745">
      <w:pPr>
        <w:outlineLvl w:val="1"/>
        <w:rPr>
          <w:rFonts w:ascii="黑体" w:hAnsi="黑体" w:eastAsia="黑体" w:cs="黑体"/>
          <w:sz w:val="28"/>
          <w:szCs w:val="28"/>
        </w:rPr>
      </w:pPr>
      <w:bookmarkStart w:id="36" w:name="_Toc115196018"/>
      <w:r>
        <w:rPr>
          <w:rFonts w:ascii="黑体" w:hAnsi="黑体" w:eastAsia="黑体" w:cs="黑体"/>
          <w:sz w:val="28"/>
          <w:szCs w:val="28"/>
        </w:rPr>
        <w:t xml:space="preserve">5. </w:t>
      </w:r>
      <w:r>
        <w:rPr>
          <w:rFonts w:hint="eastAsia" w:ascii="黑体" w:hAnsi="黑体" w:eastAsia="黑体" w:cs="黑体"/>
          <w:sz w:val="28"/>
          <w:szCs w:val="28"/>
        </w:rPr>
        <w:t>投标文件的递交</w:t>
      </w:r>
      <w:bookmarkEnd w:id="36"/>
    </w:p>
    <w:p w14:paraId="7BF9DBC9">
      <w:pPr>
        <w:ind w:left="210" w:leftChars="100" w:firstLine="210" w:firstLineChars="100"/>
        <w:rPr>
          <w:szCs w:val="21"/>
        </w:rPr>
      </w:pPr>
      <w:r>
        <w:rPr>
          <w:rFonts w:hint="eastAsia"/>
          <w:szCs w:val="21"/>
        </w:rPr>
        <w:t>5</w:t>
      </w:r>
      <w:r>
        <w:rPr>
          <w:szCs w:val="21"/>
        </w:rPr>
        <w:t>.1</w:t>
      </w:r>
      <w:r>
        <w:rPr>
          <w:rFonts w:hint="eastAsia"/>
          <w:szCs w:val="21"/>
        </w:rPr>
        <w:t>本次招标投标截止时间（开标时间，下同）为202</w:t>
      </w:r>
      <w:r>
        <w:rPr>
          <w:rFonts w:hint="eastAsia"/>
          <w:szCs w:val="21"/>
          <w:lang w:val="en-US" w:eastAsia="zh-CN"/>
        </w:rPr>
        <w:t>5</w:t>
      </w:r>
      <w:r>
        <w:rPr>
          <w:szCs w:val="21"/>
        </w:rPr>
        <w:t>年</w:t>
      </w:r>
      <w:r>
        <w:rPr>
          <w:rFonts w:hint="eastAsia"/>
          <w:szCs w:val="21"/>
          <w:lang w:val="en-US" w:eastAsia="zh-CN"/>
        </w:rPr>
        <w:t>2</w:t>
      </w:r>
      <w:r>
        <w:rPr>
          <w:szCs w:val="21"/>
        </w:rPr>
        <w:t>月</w:t>
      </w:r>
      <w:r>
        <w:rPr>
          <w:rFonts w:hint="eastAsia"/>
          <w:szCs w:val="21"/>
          <w:lang w:val="en-US" w:eastAsia="zh-CN"/>
        </w:rPr>
        <w:t xml:space="preserve">27 </w:t>
      </w:r>
      <w:r>
        <w:rPr>
          <w:szCs w:val="21"/>
        </w:rPr>
        <w:t>日</w:t>
      </w:r>
      <w:r>
        <w:rPr>
          <w:rFonts w:hint="eastAsia"/>
          <w:szCs w:val="21"/>
        </w:rPr>
        <w:t>15</w:t>
      </w:r>
      <w:r>
        <w:rPr>
          <w:szCs w:val="21"/>
        </w:rPr>
        <w:t>时</w:t>
      </w:r>
      <w:r>
        <w:rPr>
          <w:rFonts w:hint="eastAsia"/>
          <w:szCs w:val="21"/>
        </w:rPr>
        <w:t>30</w:t>
      </w:r>
      <w:r>
        <w:rPr>
          <w:szCs w:val="21"/>
        </w:rPr>
        <w:t>分（北京时间）；</w:t>
      </w:r>
    </w:p>
    <w:p w14:paraId="4524A12E">
      <w:pPr>
        <w:ind w:firstLine="420" w:firstLineChars="200"/>
      </w:pPr>
      <w:r>
        <w:rPr>
          <w:szCs w:val="21"/>
        </w:rPr>
        <w:t>5.2 投标文件递交方式：</w:t>
      </w:r>
      <w:r>
        <w:rPr>
          <w:rFonts w:hint="eastAsia"/>
        </w:rPr>
        <w:t>盐城林辰项目管理有限公司</w:t>
      </w:r>
      <w:r>
        <w:t>代理部（</w:t>
      </w:r>
      <w:r>
        <w:rPr>
          <w:rFonts w:hint="eastAsia"/>
        </w:rPr>
        <w:t>盐城大丰区金融大厦1609室</w:t>
      </w:r>
      <w:r>
        <w:t>）</w:t>
      </w:r>
    </w:p>
    <w:p w14:paraId="50B98AC2">
      <w:pPr>
        <w:pStyle w:val="37"/>
        <w:spacing w:line="360" w:lineRule="auto"/>
        <w:ind w:left="0" w:leftChars="0" w:firstLine="420" w:firstLineChars="200"/>
        <w:rPr>
          <w:rFonts w:ascii="宋体" w:hAnsi="宋体" w:eastAsia="宋体" w:cs="Times New Roman"/>
          <w:smallCaps w:val="0"/>
          <w:kern w:val="2"/>
          <w:sz w:val="21"/>
          <w:szCs w:val="21"/>
          <w:lang w:val="en-US" w:eastAsia="zh-CN" w:bidi="ar-SA"/>
        </w:rPr>
      </w:pPr>
      <w:r>
        <w:rPr>
          <w:rFonts w:hint="eastAsia" w:ascii="宋体" w:hAnsi="宋体" w:eastAsia="宋体" w:cs="Times New Roman"/>
          <w:smallCaps w:val="0"/>
          <w:kern w:val="2"/>
          <w:sz w:val="21"/>
          <w:szCs w:val="21"/>
          <w:lang w:val="en-US" w:eastAsia="zh-CN" w:bidi="ar-SA"/>
        </w:rPr>
        <w:t>根据《国务院办公厅转发国家发展改革委关于深化公共资源交易平台整合共享指导意见的通知》（国办函〔2019〕41号）文件精神，全面逐步推行不见面投标开标等招投标活动，本项目开标方式采取不见面纸质文件开标。</w:t>
      </w:r>
    </w:p>
    <w:p w14:paraId="1C45D40F">
      <w:pPr>
        <w:ind w:firstLine="420" w:firstLineChars="200"/>
        <w:rPr>
          <w:rFonts w:ascii="宋体" w:hAnsi="宋体" w:eastAsia="宋体" w:cs="Times New Roman"/>
          <w:smallCaps w:val="0"/>
          <w:kern w:val="2"/>
          <w:sz w:val="21"/>
          <w:szCs w:val="21"/>
          <w:lang w:val="en-US" w:eastAsia="zh-CN" w:bidi="ar-SA"/>
        </w:rPr>
      </w:pPr>
      <w:r>
        <w:rPr>
          <w:rFonts w:hint="eastAsia" w:ascii="宋体" w:hAnsi="宋体" w:eastAsia="宋体" w:cs="Times New Roman"/>
          <w:smallCaps w:val="0"/>
          <w:kern w:val="2"/>
          <w:sz w:val="21"/>
          <w:szCs w:val="21"/>
          <w:lang w:val="en-US" w:eastAsia="zh-CN" w:bidi="ar-SA"/>
        </w:rPr>
        <w:t xml:space="preserve">参加会议的方法：电脑或智能手机可以搜索下载并安装“腾讯会议”，注册完成后点击“加入会议”，输入会议号“ </w:t>
      </w:r>
      <w:r>
        <w:rPr>
          <w:rFonts w:hint="eastAsia" w:cs="Times New Roman"/>
          <w:b/>
          <w:bCs/>
          <w:smallCaps w:val="0"/>
          <w:kern w:val="2"/>
          <w:sz w:val="21"/>
          <w:szCs w:val="21"/>
          <w:lang w:val="en-US" w:eastAsia="zh-CN" w:bidi="ar-SA"/>
        </w:rPr>
        <w:t>377 552 870</w:t>
      </w:r>
      <w:r>
        <w:rPr>
          <w:rFonts w:hint="eastAsia" w:ascii="宋体" w:hAnsi="宋体" w:eastAsia="宋体" w:cs="Times New Roman"/>
          <w:smallCaps w:val="0"/>
          <w:kern w:val="2"/>
          <w:sz w:val="21"/>
          <w:szCs w:val="21"/>
          <w:lang w:val="en-US" w:eastAsia="zh-CN" w:bidi="ar-SA"/>
        </w:rPr>
        <w:t xml:space="preserve">  ”，“您的姓名”按“单位简称+授权委托人姓名”格式填写，然后点击“加入会议”。会议系统将在投标截止时间前15分钟开放。</w:t>
      </w:r>
    </w:p>
    <w:p w14:paraId="0079B98A">
      <w:pPr>
        <w:outlineLvl w:val="1"/>
        <w:rPr>
          <w:rFonts w:ascii="黑体" w:hAnsi="黑体" w:eastAsia="黑体" w:cs="黑体"/>
          <w:sz w:val="28"/>
          <w:szCs w:val="28"/>
        </w:rPr>
      </w:pPr>
      <w:bookmarkStart w:id="37" w:name="_Toc247513939"/>
      <w:bookmarkStart w:id="38" w:name="_Toc157499355"/>
      <w:bookmarkStart w:id="39" w:name="_Toc115196019"/>
      <w:bookmarkStart w:id="40" w:name="_Toc247527540"/>
      <w:r>
        <w:rPr>
          <w:rFonts w:hint="eastAsia" w:ascii="黑体" w:hAnsi="黑体" w:eastAsia="黑体" w:cs="黑体"/>
          <w:sz w:val="28"/>
          <w:szCs w:val="28"/>
        </w:rPr>
        <w:t>6. 发布公告的媒介</w:t>
      </w:r>
      <w:bookmarkEnd w:id="37"/>
      <w:bookmarkEnd w:id="38"/>
      <w:bookmarkEnd w:id="39"/>
      <w:bookmarkEnd w:id="40"/>
    </w:p>
    <w:p w14:paraId="229ABDC1">
      <w:pPr>
        <w:ind w:firstLine="420" w:firstLineChars="200"/>
        <w:rPr>
          <w:szCs w:val="21"/>
        </w:rPr>
      </w:pPr>
      <w:r>
        <w:rPr>
          <w:rFonts w:hint="eastAsia"/>
          <w:szCs w:val="21"/>
        </w:rPr>
        <w:t>盐城市联鑫钢铁有限公司网站。</w:t>
      </w:r>
    </w:p>
    <w:p w14:paraId="55A3792E">
      <w:pPr>
        <w:outlineLvl w:val="1"/>
        <w:rPr>
          <w:rFonts w:ascii="黑体" w:hAnsi="黑体" w:eastAsia="黑体" w:cs="黑体"/>
          <w:sz w:val="28"/>
          <w:szCs w:val="28"/>
        </w:rPr>
      </w:pPr>
      <w:bookmarkStart w:id="41" w:name="_Toc152042293"/>
      <w:bookmarkStart w:id="42" w:name="_Toc247513940"/>
      <w:bookmarkStart w:id="43" w:name="_Toc144974485"/>
      <w:bookmarkStart w:id="44" w:name="_Toc152045517"/>
      <w:bookmarkStart w:id="45" w:name="_Toc115196021"/>
      <w:bookmarkStart w:id="46" w:name="_Toc247527541"/>
      <w:r>
        <w:rPr>
          <w:rFonts w:hint="eastAsia" w:ascii="黑体" w:hAnsi="黑体" w:eastAsia="黑体" w:cs="黑体"/>
          <w:sz w:val="28"/>
          <w:szCs w:val="28"/>
        </w:rPr>
        <w:t>7</w:t>
      </w:r>
      <w:r>
        <w:rPr>
          <w:rFonts w:ascii="黑体" w:hAnsi="黑体" w:eastAsia="黑体" w:cs="黑体"/>
          <w:sz w:val="28"/>
          <w:szCs w:val="28"/>
        </w:rPr>
        <w:t>.</w:t>
      </w:r>
      <w:r>
        <w:rPr>
          <w:rFonts w:hint="eastAsia" w:ascii="黑体" w:hAnsi="黑体" w:eastAsia="黑体" w:cs="黑体"/>
          <w:sz w:val="28"/>
          <w:szCs w:val="28"/>
        </w:rPr>
        <w:t>联系方式</w:t>
      </w:r>
      <w:bookmarkEnd w:id="41"/>
      <w:bookmarkEnd w:id="42"/>
      <w:bookmarkEnd w:id="43"/>
      <w:bookmarkEnd w:id="44"/>
      <w:bookmarkEnd w:id="45"/>
      <w:bookmarkEnd w:id="46"/>
    </w:p>
    <w:p w14:paraId="2D691267">
      <w:pPr>
        <w:topLinePunct/>
        <w:ind w:firstLine="420" w:firstLineChars="200"/>
        <w:rPr>
          <w:szCs w:val="21"/>
        </w:rPr>
      </w:pPr>
      <w:r>
        <w:rPr>
          <w:rFonts w:hint="eastAsia"/>
          <w:szCs w:val="21"/>
        </w:rPr>
        <w:t>招标人：盐城市联鑫钢铁有限公司</w:t>
      </w:r>
    </w:p>
    <w:p w14:paraId="5F239233">
      <w:pPr>
        <w:topLinePunct/>
        <w:ind w:firstLine="420" w:firstLineChars="200"/>
      </w:pPr>
      <w:r>
        <w:rPr>
          <w:rFonts w:hint="eastAsia"/>
          <w:szCs w:val="21"/>
        </w:rPr>
        <w:t>地址：</w:t>
      </w:r>
      <w:r>
        <w:rPr>
          <w:rFonts w:hint="eastAsia"/>
        </w:rPr>
        <w:t>江苏省盐城市大丰区大丰港经济区临港工业园</w:t>
      </w:r>
    </w:p>
    <w:p w14:paraId="70FB31C1">
      <w:pPr>
        <w:topLinePunct/>
        <w:ind w:firstLine="420" w:firstLineChars="200"/>
        <w:rPr>
          <w:szCs w:val="21"/>
        </w:rPr>
      </w:pPr>
      <w:r>
        <w:rPr>
          <w:rFonts w:hint="eastAsia"/>
          <w:szCs w:val="21"/>
        </w:rPr>
        <w:t xml:space="preserve">联系人：沈先生 </w:t>
      </w:r>
      <w:r>
        <w:rPr>
          <w:szCs w:val="21"/>
        </w:rPr>
        <w:t xml:space="preserve">  </w:t>
      </w:r>
    </w:p>
    <w:p w14:paraId="40ABDCF6">
      <w:pPr>
        <w:topLinePunct/>
        <w:ind w:firstLine="420" w:firstLineChars="200"/>
        <w:rPr>
          <w:szCs w:val="21"/>
        </w:rPr>
      </w:pPr>
      <w:r>
        <w:rPr>
          <w:rFonts w:hint="eastAsia"/>
          <w:szCs w:val="21"/>
        </w:rPr>
        <w:t>电话：15298580303</w:t>
      </w:r>
      <w:r>
        <w:rPr>
          <w:szCs w:val="21"/>
        </w:rPr>
        <w:t xml:space="preserve">     </w:t>
      </w:r>
    </w:p>
    <w:p w14:paraId="37CEE855">
      <w:pPr>
        <w:ind w:firstLine="420" w:firstLineChars="200"/>
        <w:rPr>
          <w:color w:val="000000"/>
          <w:szCs w:val="21"/>
        </w:rPr>
      </w:pPr>
      <w:r>
        <w:rPr>
          <w:rFonts w:hint="eastAsia"/>
          <w:color w:val="000000"/>
          <w:szCs w:val="21"/>
        </w:rPr>
        <w:t>招标代理机构：盐城林辰项目管理有限公司</w:t>
      </w:r>
    </w:p>
    <w:p w14:paraId="109AED2A">
      <w:pPr>
        <w:ind w:firstLine="420" w:firstLineChars="200"/>
        <w:rPr>
          <w:color w:val="000000"/>
          <w:szCs w:val="21"/>
        </w:rPr>
      </w:pPr>
      <w:r>
        <w:rPr>
          <w:rFonts w:hint="eastAsia"/>
          <w:color w:val="000000"/>
          <w:szCs w:val="21"/>
        </w:rPr>
        <w:t>地    址：</w:t>
      </w:r>
      <w:r>
        <w:rPr>
          <w:rFonts w:hint="eastAsia"/>
        </w:rPr>
        <w:t>盐城大丰区金融大厦1609室</w:t>
      </w:r>
    </w:p>
    <w:p w14:paraId="2058B0F7">
      <w:pPr>
        <w:topLinePunct/>
        <w:ind w:firstLine="420" w:firstLineChars="200"/>
        <w:rPr>
          <w:szCs w:val="21"/>
        </w:rPr>
      </w:pPr>
      <w:r>
        <w:rPr>
          <w:rFonts w:hint="eastAsia"/>
          <w:szCs w:val="21"/>
        </w:rPr>
        <w:t>联系人：易晗</w:t>
      </w:r>
    </w:p>
    <w:p w14:paraId="1531EE60">
      <w:pPr>
        <w:topLinePunct/>
        <w:ind w:firstLine="420" w:firstLineChars="200"/>
        <w:rPr>
          <w:color w:val="000000"/>
          <w:szCs w:val="21"/>
        </w:rPr>
      </w:pPr>
      <w:r>
        <w:rPr>
          <w:rFonts w:hint="eastAsia"/>
          <w:szCs w:val="21"/>
        </w:rPr>
        <w:t>电话：</w:t>
      </w:r>
      <w:r>
        <w:rPr>
          <w:rFonts w:hint="eastAsia"/>
          <w:color w:val="000000"/>
          <w:szCs w:val="21"/>
        </w:rPr>
        <w:t>15358270067</w:t>
      </w:r>
    </w:p>
    <w:p w14:paraId="32215D84">
      <w:pPr>
        <w:ind w:firstLine="3402" w:firstLineChars="1620"/>
        <w:jc w:val="right"/>
        <w:rPr>
          <w:color w:val="000000"/>
          <w:szCs w:val="21"/>
        </w:rPr>
      </w:pPr>
      <w:r>
        <w:rPr>
          <w:rFonts w:hint="eastAsia"/>
          <w:color w:val="000000"/>
          <w:szCs w:val="21"/>
        </w:rPr>
        <w:t>招标人：</w:t>
      </w:r>
      <w:r>
        <w:rPr>
          <w:rFonts w:hint="eastAsia"/>
          <w:szCs w:val="21"/>
        </w:rPr>
        <w:t>盐城市联鑫钢铁有限公司</w:t>
      </w:r>
    </w:p>
    <w:p w14:paraId="268C664F">
      <w:pPr>
        <w:ind w:firstLine="3402" w:firstLineChars="1620"/>
        <w:jc w:val="right"/>
        <w:rPr>
          <w:color w:val="000000"/>
          <w:szCs w:val="21"/>
        </w:rPr>
      </w:pPr>
      <w:r>
        <w:rPr>
          <w:rFonts w:hint="eastAsia"/>
          <w:color w:val="000000"/>
          <w:szCs w:val="21"/>
        </w:rPr>
        <w:t>招标代理：</w:t>
      </w:r>
      <w:r>
        <w:rPr>
          <w:rFonts w:hint="eastAsia"/>
        </w:rPr>
        <w:t>盐城林辰项目管理有限公司</w:t>
      </w:r>
    </w:p>
    <w:p w14:paraId="2A05FCBC">
      <w:pPr>
        <w:ind w:firstLine="5040" w:firstLineChars="2400"/>
        <w:jc w:val="right"/>
        <w:rPr>
          <w:rFonts w:cs="宋体"/>
          <w:b/>
          <w:kern w:val="0"/>
          <w:szCs w:val="21"/>
        </w:rPr>
      </w:pPr>
      <w:r>
        <w:rPr>
          <w:rFonts w:hint="eastAsia"/>
          <w:color w:val="000000"/>
          <w:szCs w:val="21"/>
        </w:rPr>
        <w:t>202</w:t>
      </w:r>
      <w:r>
        <w:rPr>
          <w:rFonts w:hint="eastAsia"/>
          <w:color w:val="000000"/>
          <w:szCs w:val="21"/>
          <w:lang w:val="en-US" w:eastAsia="zh-CN"/>
        </w:rPr>
        <w:t>5</w:t>
      </w:r>
      <w:r>
        <w:rPr>
          <w:rFonts w:hint="eastAsia"/>
          <w:color w:val="000000"/>
          <w:szCs w:val="21"/>
        </w:rPr>
        <w:t>年</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 xml:space="preserve">14 </w:t>
      </w:r>
      <w:r>
        <w:rPr>
          <w:rFonts w:hint="eastAsia"/>
          <w:color w:val="000000"/>
          <w:szCs w:val="21"/>
        </w:rPr>
        <w:t>日</w:t>
      </w:r>
    </w:p>
    <w:p w14:paraId="3BC8F1EB">
      <w:pPr>
        <w:pStyle w:val="2"/>
        <w:spacing w:line="360" w:lineRule="auto"/>
        <w:jc w:val="center"/>
      </w:pPr>
      <w:bookmarkStart w:id="47" w:name="_Toc152045518"/>
      <w:bookmarkStart w:id="48" w:name="_Toc144974486"/>
      <w:bookmarkStart w:id="49" w:name="_Toc152042294"/>
      <w:bookmarkStart w:id="50" w:name="_Toc247527542"/>
      <w:bookmarkStart w:id="51" w:name="_Toc247513941"/>
      <w:bookmarkStart w:id="52" w:name="_Toc30842"/>
      <w:r>
        <w:br w:type="page"/>
      </w:r>
      <w:bookmarkEnd w:id="47"/>
      <w:bookmarkEnd w:id="48"/>
      <w:bookmarkEnd w:id="49"/>
      <w:bookmarkEnd w:id="50"/>
      <w:bookmarkEnd w:id="51"/>
      <w:bookmarkEnd w:id="52"/>
      <w:bookmarkStart w:id="53" w:name="_Toc98503853"/>
      <w:bookmarkStart w:id="54" w:name="_Toc152042303"/>
      <w:bookmarkStart w:id="55" w:name="_Toc144974495"/>
      <w:bookmarkStart w:id="56" w:name="_Toc247527551"/>
      <w:bookmarkStart w:id="57" w:name="_Toc247513950"/>
      <w:bookmarkStart w:id="58" w:name="_Toc152045527"/>
      <w:bookmarkStart w:id="59" w:name="_Toc115196022"/>
      <w:r>
        <w:rPr>
          <w:rFonts w:hint="eastAsia"/>
        </w:rPr>
        <w:t>第二章 投标人须知</w:t>
      </w:r>
      <w:bookmarkEnd w:id="53"/>
      <w:bookmarkEnd w:id="54"/>
      <w:bookmarkEnd w:id="55"/>
      <w:bookmarkEnd w:id="56"/>
      <w:bookmarkEnd w:id="57"/>
      <w:bookmarkEnd w:id="58"/>
      <w:bookmarkEnd w:id="59"/>
    </w:p>
    <w:p w14:paraId="13063C43">
      <w:pPr>
        <w:pStyle w:val="3"/>
        <w:keepNext/>
        <w:keepLines/>
        <w:tabs>
          <w:tab w:val="clear" w:pos="425"/>
          <w:tab w:val="clear" w:pos="851"/>
        </w:tabs>
        <w:spacing w:before="260" w:after="260"/>
        <w:jc w:val="center"/>
        <w:rPr>
          <w:rFonts w:ascii="Arial" w:hAnsi="Arial" w:eastAsia="黑体"/>
          <w:sz w:val="32"/>
          <w:szCs w:val="32"/>
        </w:rPr>
      </w:pPr>
      <w:bookmarkStart w:id="60" w:name="_Toc152045528"/>
      <w:bookmarkStart w:id="61" w:name="_Toc247527552"/>
      <w:bookmarkStart w:id="62" w:name="_Toc152042304"/>
      <w:bookmarkStart w:id="63" w:name="_Toc115196023"/>
      <w:bookmarkStart w:id="64" w:name="_Toc144974496"/>
      <w:bookmarkStart w:id="65" w:name="_Toc247513951"/>
      <w:bookmarkStart w:id="66" w:name="_Toc98503854"/>
      <w:r>
        <w:rPr>
          <w:rFonts w:hint="eastAsia" w:ascii="Arial" w:hAnsi="Arial" w:eastAsia="黑体"/>
          <w:sz w:val="32"/>
          <w:szCs w:val="32"/>
        </w:rPr>
        <w:t>投标人须知前附表</w:t>
      </w:r>
      <w:bookmarkEnd w:id="60"/>
      <w:bookmarkEnd w:id="61"/>
      <w:bookmarkEnd w:id="62"/>
      <w:bookmarkEnd w:id="63"/>
      <w:bookmarkEnd w:id="64"/>
      <w:bookmarkEnd w:id="65"/>
      <w:bookmarkEnd w:id="66"/>
    </w:p>
    <w:tbl>
      <w:tblPr>
        <w:tblStyle w:val="46"/>
        <w:tblW w:w="4998" w:type="pct"/>
        <w:jc w:val="center"/>
        <w:tblLayout w:type="autofit"/>
        <w:tblCellMar>
          <w:top w:w="0" w:type="dxa"/>
          <w:left w:w="108" w:type="dxa"/>
          <w:bottom w:w="0" w:type="dxa"/>
          <w:right w:w="108" w:type="dxa"/>
        </w:tblCellMar>
      </w:tblPr>
      <w:tblGrid>
        <w:gridCol w:w="803"/>
        <w:gridCol w:w="2234"/>
        <w:gridCol w:w="5723"/>
      </w:tblGrid>
      <w:tr w14:paraId="75DFC804">
        <w:tblPrEx>
          <w:tblCellMar>
            <w:top w:w="0" w:type="dxa"/>
            <w:left w:w="108" w:type="dxa"/>
            <w:bottom w:w="0" w:type="dxa"/>
            <w:right w:w="108" w:type="dxa"/>
          </w:tblCellMar>
        </w:tblPrEx>
        <w:trPr>
          <w:trHeight w:val="659"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3272FB0E">
            <w:pPr>
              <w:keepNext w:val="0"/>
              <w:keepLines w:val="0"/>
              <w:suppressLineNumbers w:val="0"/>
              <w:spacing w:before="0" w:beforeAutospacing="0" w:after="0" w:afterAutospacing="0"/>
              <w:ind w:left="0" w:right="0"/>
              <w:jc w:val="center"/>
              <w:rPr>
                <w:rFonts w:hint="default"/>
                <w:b/>
                <w:szCs w:val="21"/>
              </w:rPr>
            </w:pPr>
            <w:r>
              <w:rPr>
                <w:rFonts w:hint="default"/>
                <w:b/>
                <w:szCs w:val="21"/>
              </w:rPr>
              <w:t>条款号</w:t>
            </w:r>
          </w:p>
        </w:tc>
        <w:tc>
          <w:tcPr>
            <w:tcW w:w="1275" w:type="pct"/>
            <w:tcBorders>
              <w:top w:val="single" w:color="auto" w:sz="4" w:space="0"/>
              <w:left w:val="single" w:color="auto" w:sz="4" w:space="0"/>
              <w:bottom w:val="single" w:color="auto" w:sz="4" w:space="0"/>
              <w:right w:val="single" w:color="auto" w:sz="4" w:space="0"/>
            </w:tcBorders>
            <w:vAlign w:val="center"/>
          </w:tcPr>
          <w:p w14:paraId="2390828E">
            <w:pPr>
              <w:keepNext w:val="0"/>
              <w:keepLines w:val="0"/>
              <w:suppressLineNumbers w:val="0"/>
              <w:spacing w:before="0" w:beforeAutospacing="0" w:after="0" w:afterAutospacing="0"/>
              <w:ind w:left="0" w:right="0"/>
              <w:jc w:val="center"/>
              <w:rPr>
                <w:rFonts w:hint="default"/>
                <w:b/>
                <w:szCs w:val="21"/>
              </w:rPr>
            </w:pPr>
            <w:r>
              <w:rPr>
                <w:rFonts w:hint="default"/>
                <w:b/>
                <w:szCs w:val="21"/>
              </w:rPr>
              <w:t>条  款  名  称</w:t>
            </w:r>
          </w:p>
        </w:tc>
        <w:tc>
          <w:tcPr>
            <w:tcW w:w="3265" w:type="pct"/>
            <w:tcBorders>
              <w:top w:val="single" w:color="auto" w:sz="4" w:space="0"/>
              <w:left w:val="single" w:color="auto" w:sz="4" w:space="0"/>
              <w:bottom w:val="single" w:color="auto" w:sz="4" w:space="0"/>
              <w:right w:val="single" w:color="auto" w:sz="4" w:space="0"/>
            </w:tcBorders>
            <w:vAlign w:val="center"/>
          </w:tcPr>
          <w:p w14:paraId="54B74D83">
            <w:pPr>
              <w:keepNext w:val="0"/>
              <w:keepLines w:val="0"/>
              <w:suppressLineNumbers w:val="0"/>
              <w:spacing w:before="0" w:beforeAutospacing="0" w:after="0" w:afterAutospacing="0"/>
              <w:ind w:left="0" w:right="0"/>
              <w:jc w:val="center"/>
              <w:rPr>
                <w:rFonts w:hint="default"/>
                <w:b/>
                <w:szCs w:val="21"/>
              </w:rPr>
            </w:pPr>
            <w:r>
              <w:rPr>
                <w:rFonts w:hint="default"/>
                <w:b/>
                <w:szCs w:val="21"/>
              </w:rPr>
              <w:t>编  列  内  容</w:t>
            </w:r>
          </w:p>
        </w:tc>
      </w:tr>
      <w:tr w14:paraId="426C9FBA">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18110C9">
            <w:pPr>
              <w:keepNext w:val="0"/>
              <w:keepLines w:val="0"/>
              <w:suppressLineNumbers w:val="0"/>
              <w:spacing w:before="0" w:beforeAutospacing="0" w:after="0" w:afterAutospacing="0"/>
              <w:ind w:left="0" w:right="0"/>
              <w:jc w:val="center"/>
              <w:rPr>
                <w:rFonts w:hint="default"/>
                <w:szCs w:val="21"/>
              </w:rPr>
            </w:pPr>
            <w:r>
              <w:rPr>
                <w:rFonts w:hint="default"/>
                <w:szCs w:val="21"/>
              </w:rPr>
              <w:t>1.1.2</w:t>
            </w:r>
          </w:p>
        </w:tc>
        <w:tc>
          <w:tcPr>
            <w:tcW w:w="1275" w:type="pct"/>
            <w:tcBorders>
              <w:top w:val="single" w:color="auto" w:sz="4" w:space="0"/>
              <w:left w:val="single" w:color="auto" w:sz="4" w:space="0"/>
              <w:bottom w:val="single" w:color="auto" w:sz="4" w:space="0"/>
              <w:right w:val="single" w:color="auto" w:sz="4" w:space="0"/>
            </w:tcBorders>
            <w:vAlign w:val="center"/>
          </w:tcPr>
          <w:p w14:paraId="355DD7A1">
            <w:pPr>
              <w:keepNext w:val="0"/>
              <w:keepLines w:val="0"/>
              <w:suppressLineNumbers w:val="0"/>
              <w:spacing w:before="0" w:beforeAutospacing="0" w:after="0" w:afterAutospacing="0"/>
              <w:ind w:left="0" w:right="0"/>
              <w:jc w:val="left"/>
              <w:rPr>
                <w:rFonts w:hint="default"/>
                <w:szCs w:val="21"/>
              </w:rPr>
            </w:pPr>
            <w:r>
              <w:rPr>
                <w:rFonts w:hint="default"/>
                <w:szCs w:val="21"/>
              </w:rPr>
              <w:t>招标人</w:t>
            </w:r>
          </w:p>
        </w:tc>
        <w:tc>
          <w:tcPr>
            <w:tcW w:w="3265" w:type="pct"/>
            <w:tcBorders>
              <w:top w:val="single" w:color="auto" w:sz="4" w:space="0"/>
              <w:left w:val="single" w:color="auto" w:sz="4" w:space="0"/>
              <w:bottom w:val="single" w:color="auto" w:sz="4" w:space="0"/>
              <w:right w:val="single" w:color="auto" w:sz="4" w:space="0"/>
            </w:tcBorders>
            <w:vAlign w:val="center"/>
          </w:tcPr>
          <w:p w14:paraId="15C14818">
            <w:pPr>
              <w:keepNext w:val="0"/>
              <w:keepLines w:val="0"/>
              <w:suppressLineNumbers w:val="0"/>
              <w:topLinePunct/>
              <w:spacing w:before="0" w:beforeAutospacing="0" w:after="0" w:afterAutospacing="0"/>
              <w:ind w:left="0" w:right="0"/>
              <w:rPr>
                <w:rFonts w:hint="default"/>
                <w:szCs w:val="21"/>
              </w:rPr>
            </w:pPr>
            <w:r>
              <w:rPr>
                <w:rFonts w:hint="eastAsia"/>
                <w:szCs w:val="21"/>
              </w:rPr>
              <w:t>招标人：盐城市联鑫钢铁有限公司</w:t>
            </w:r>
          </w:p>
          <w:p w14:paraId="18D7DD17">
            <w:pPr>
              <w:keepNext w:val="0"/>
              <w:keepLines w:val="0"/>
              <w:suppressLineNumbers w:val="0"/>
              <w:topLinePunct/>
              <w:spacing w:before="0" w:beforeAutospacing="0" w:after="0" w:afterAutospacing="0"/>
              <w:ind w:left="0" w:right="0"/>
              <w:rPr>
                <w:rFonts w:hint="default"/>
              </w:rPr>
            </w:pPr>
            <w:r>
              <w:rPr>
                <w:rFonts w:hint="eastAsia"/>
                <w:szCs w:val="21"/>
              </w:rPr>
              <w:t>地址：</w:t>
            </w:r>
            <w:r>
              <w:rPr>
                <w:rFonts w:hint="eastAsia"/>
              </w:rPr>
              <w:t>江苏省盐城市大丰区大丰港经济区临港工业园</w:t>
            </w:r>
          </w:p>
          <w:p w14:paraId="7AD6A81E">
            <w:pPr>
              <w:keepNext w:val="0"/>
              <w:keepLines w:val="0"/>
              <w:suppressLineNumbers w:val="0"/>
              <w:topLinePunct/>
              <w:spacing w:before="0" w:beforeAutospacing="0" w:after="0" w:afterAutospacing="0"/>
              <w:ind w:left="0" w:right="0"/>
              <w:rPr>
                <w:rFonts w:hint="default"/>
                <w:szCs w:val="21"/>
              </w:rPr>
            </w:pPr>
            <w:r>
              <w:rPr>
                <w:rFonts w:hint="eastAsia"/>
                <w:szCs w:val="21"/>
              </w:rPr>
              <w:t xml:space="preserve">联系人：沈先生 </w:t>
            </w:r>
            <w:r>
              <w:rPr>
                <w:rFonts w:hint="default"/>
                <w:szCs w:val="21"/>
              </w:rPr>
              <w:t xml:space="preserve">  </w:t>
            </w:r>
          </w:p>
          <w:p w14:paraId="692266D0">
            <w:pPr>
              <w:keepNext w:val="0"/>
              <w:keepLines w:val="0"/>
              <w:suppressLineNumbers w:val="0"/>
              <w:spacing w:before="0" w:beforeAutospacing="0" w:after="0" w:afterAutospacing="0"/>
              <w:ind w:left="0" w:right="0"/>
              <w:jc w:val="left"/>
              <w:rPr>
                <w:rFonts w:hint="default"/>
                <w:szCs w:val="21"/>
              </w:rPr>
            </w:pPr>
            <w:r>
              <w:rPr>
                <w:rFonts w:hint="eastAsia"/>
                <w:szCs w:val="21"/>
              </w:rPr>
              <w:t>电话：15298580303</w:t>
            </w:r>
            <w:r>
              <w:rPr>
                <w:rFonts w:hint="default"/>
                <w:szCs w:val="21"/>
              </w:rPr>
              <w:t xml:space="preserve">   </w:t>
            </w:r>
          </w:p>
        </w:tc>
      </w:tr>
      <w:tr w14:paraId="17E7C04D">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E3D2A3F">
            <w:pPr>
              <w:keepNext w:val="0"/>
              <w:keepLines w:val="0"/>
              <w:suppressLineNumbers w:val="0"/>
              <w:spacing w:before="0" w:beforeAutospacing="0" w:after="0" w:afterAutospacing="0"/>
              <w:ind w:left="0" w:right="0"/>
              <w:jc w:val="center"/>
              <w:rPr>
                <w:rFonts w:hint="default"/>
                <w:szCs w:val="21"/>
              </w:rPr>
            </w:pPr>
            <w:r>
              <w:rPr>
                <w:rFonts w:hint="default"/>
                <w:szCs w:val="21"/>
              </w:rPr>
              <w:t>1.1.3</w:t>
            </w:r>
          </w:p>
        </w:tc>
        <w:tc>
          <w:tcPr>
            <w:tcW w:w="1275" w:type="pct"/>
            <w:tcBorders>
              <w:top w:val="single" w:color="auto" w:sz="4" w:space="0"/>
              <w:left w:val="single" w:color="auto" w:sz="4" w:space="0"/>
              <w:bottom w:val="single" w:color="auto" w:sz="4" w:space="0"/>
              <w:right w:val="single" w:color="auto" w:sz="4" w:space="0"/>
            </w:tcBorders>
            <w:vAlign w:val="center"/>
          </w:tcPr>
          <w:p w14:paraId="6E34A738">
            <w:pPr>
              <w:keepNext w:val="0"/>
              <w:keepLines w:val="0"/>
              <w:suppressLineNumbers w:val="0"/>
              <w:spacing w:before="0" w:beforeAutospacing="0" w:after="0" w:afterAutospacing="0"/>
              <w:ind w:left="0" w:right="0"/>
              <w:jc w:val="left"/>
              <w:rPr>
                <w:rFonts w:hint="default"/>
                <w:szCs w:val="21"/>
              </w:rPr>
            </w:pPr>
            <w:r>
              <w:rPr>
                <w:rFonts w:hint="default"/>
                <w:szCs w:val="21"/>
              </w:rPr>
              <w:t>招标代理机构</w:t>
            </w:r>
          </w:p>
        </w:tc>
        <w:tc>
          <w:tcPr>
            <w:tcW w:w="3265" w:type="pct"/>
            <w:tcBorders>
              <w:top w:val="single" w:color="auto" w:sz="4" w:space="0"/>
              <w:left w:val="single" w:color="auto" w:sz="4" w:space="0"/>
              <w:bottom w:val="single" w:color="auto" w:sz="4" w:space="0"/>
              <w:right w:val="single" w:color="auto" w:sz="4" w:space="0"/>
            </w:tcBorders>
            <w:vAlign w:val="center"/>
          </w:tcPr>
          <w:p w14:paraId="6C8FDAF0">
            <w:pPr>
              <w:keepNext w:val="0"/>
              <w:keepLines w:val="0"/>
              <w:suppressLineNumbers w:val="0"/>
              <w:spacing w:before="0" w:beforeAutospacing="0" w:after="0" w:afterAutospacing="0"/>
              <w:ind w:left="0" w:right="0"/>
              <w:rPr>
                <w:rFonts w:hint="default"/>
                <w:color w:val="000000"/>
                <w:szCs w:val="21"/>
              </w:rPr>
            </w:pPr>
            <w:r>
              <w:rPr>
                <w:rFonts w:hint="eastAsia"/>
                <w:color w:val="000000"/>
                <w:szCs w:val="21"/>
              </w:rPr>
              <w:t>招标代理机构：盐城林辰项目管理有限公司</w:t>
            </w:r>
          </w:p>
          <w:p w14:paraId="2771EF69">
            <w:pPr>
              <w:keepNext w:val="0"/>
              <w:keepLines w:val="0"/>
              <w:suppressLineNumbers w:val="0"/>
              <w:spacing w:before="0" w:beforeAutospacing="0" w:after="0" w:afterAutospacing="0"/>
              <w:ind w:left="0" w:right="0"/>
              <w:rPr>
                <w:rFonts w:hint="default"/>
                <w:color w:val="000000"/>
                <w:szCs w:val="21"/>
              </w:rPr>
            </w:pPr>
            <w:r>
              <w:rPr>
                <w:rFonts w:hint="eastAsia"/>
                <w:color w:val="000000"/>
                <w:szCs w:val="21"/>
              </w:rPr>
              <w:t>地    址：</w:t>
            </w:r>
            <w:r>
              <w:rPr>
                <w:rFonts w:hint="eastAsia"/>
              </w:rPr>
              <w:t>盐城大丰区金融大厦1609室</w:t>
            </w:r>
          </w:p>
          <w:p w14:paraId="21AD8E18">
            <w:pPr>
              <w:keepNext w:val="0"/>
              <w:keepLines w:val="0"/>
              <w:suppressLineNumbers w:val="0"/>
              <w:topLinePunct/>
              <w:spacing w:before="0" w:beforeAutospacing="0" w:after="0" w:afterAutospacing="0"/>
              <w:ind w:left="0" w:right="0"/>
              <w:rPr>
                <w:rFonts w:hint="default"/>
                <w:szCs w:val="21"/>
              </w:rPr>
            </w:pPr>
            <w:r>
              <w:rPr>
                <w:rFonts w:hint="eastAsia"/>
                <w:szCs w:val="21"/>
              </w:rPr>
              <w:t>联系人：易晗</w:t>
            </w:r>
          </w:p>
          <w:p w14:paraId="0A848FBD">
            <w:pPr>
              <w:keepNext w:val="0"/>
              <w:keepLines w:val="0"/>
              <w:suppressLineNumbers w:val="0"/>
              <w:topLinePunct/>
              <w:spacing w:before="0" w:beforeAutospacing="0" w:after="0" w:afterAutospacing="0"/>
              <w:ind w:left="0" w:right="0"/>
              <w:rPr>
                <w:rFonts w:hint="default"/>
                <w:szCs w:val="21"/>
              </w:rPr>
            </w:pPr>
            <w:r>
              <w:rPr>
                <w:rFonts w:hint="eastAsia"/>
                <w:szCs w:val="21"/>
              </w:rPr>
              <w:t>电话：</w:t>
            </w:r>
            <w:r>
              <w:rPr>
                <w:rFonts w:hint="eastAsia"/>
                <w:color w:val="000000"/>
                <w:szCs w:val="21"/>
              </w:rPr>
              <w:t>15358270067</w:t>
            </w:r>
          </w:p>
        </w:tc>
      </w:tr>
      <w:tr w14:paraId="4940FC5D">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E7B4664">
            <w:pPr>
              <w:keepNext w:val="0"/>
              <w:keepLines w:val="0"/>
              <w:suppressLineNumbers w:val="0"/>
              <w:spacing w:before="0" w:beforeAutospacing="0" w:after="0" w:afterAutospacing="0"/>
              <w:ind w:left="0" w:right="0"/>
              <w:jc w:val="center"/>
              <w:rPr>
                <w:rFonts w:hint="default"/>
                <w:szCs w:val="21"/>
              </w:rPr>
            </w:pPr>
            <w:r>
              <w:rPr>
                <w:rFonts w:hint="default"/>
                <w:szCs w:val="21"/>
              </w:rPr>
              <w:t>1.1.4</w:t>
            </w:r>
          </w:p>
        </w:tc>
        <w:tc>
          <w:tcPr>
            <w:tcW w:w="1275" w:type="pct"/>
            <w:tcBorders>
              <w:top w:val="single" w:color="auto" w:sz="4" w:space="0"/>
              <w:left w:val="single" w:color="auto" w:sz="4" w:space="0"/>
              <w:bottom w:val="single" w:color="auto" w:sz="4" w:space="0"/>
              <w:right w:val="single" w:color="auto" w:sz="4" w:space="0"/>
            </w:tcBorders>
            <w:vAlign w:val="center"/>
          </w:tcPr>
          <w:p w14:paraId="471AD085">
            <w:pPr>
              <w:keepNext w:val="0"/>
              <w:keepLines w:val="0"/>
              <w:suppressLineNumbers w:val="0"/>
              <w:spacing w:before="0" w:beforeAutospacing="0" w:after="0" w:afterAutospacing="0"/>
              <w:ind w:left="0" w:right="0"/>
              <w:jc w:val="left"/>
              <w:rPr>
                <w:rFonts w:hint="default"/>
                <w:szCs w:val="21"/>
              </w:rPr>
            </w:pPr>
            <w:r>
              <w:rPr>
                <w:rFonts w:hint="default"/>
                <w:szCs w:val="21"/>
              </w:rPr>
              <w:t>项目名称</w:t>
            </w:r>
          </w:p>
        </w:tc>
        <w:tc>
          <w:tcPr>
            <w:tcW w:w="3265" w:type="pct"/>
            <w:tcBorders>
              <w:top w:val="single" w:color="auto" w:sz="4" w:space="0"/>
              <w:left w:val="single" w:color="auto" w:sz="4" w:space="0"/>
              <w:bottom w:val="single" w:color="auto" w:sz="4" w:space="0"/>
              <w:right w:val="single" w:color="auto" w:sz="4" w:space="0"/>
            </w:tcBorders>
            <w:vAlign w:val="center"/>
          </w:tcPr>
          <w:p w14:paraId="6332B46E">
            <w:pPr>
              <w:keepNext w:val="0"/>
              <w:keepLines w:val="0"/>
              <w:suppressLineNumbers w:val="0"/>
              <w:spacing w:before="0" w:beforeAutospacing="0" w:after="0" w:afterAutospacing="0"/>
              <w:ind w:left="0" w:right="0"/>
              <w:jc w:val="left"/>
              <w:rPr>
                <w:rFonts w:hint="eastAsia" w:eastAsia="宋体"/>
                <w:szCs w:val="21"/>
                <w:lang w:eastAsia="zh-CN"/>
                <w:woUserID w:val="1"/>
              </w:rPr>
            </w:pPr>
            <w:r>
              <w:rPr>
                <w:rFonts w:hint="eastAsia"/>
                <w:bCs/>
                <w:szCs w:val="21"/>
                <w:lang w:eastAsia="zh-CN"/>
              </w:rPr>
              <w:t>盐城市联鑫钢铁有限公司优特钢升级改造项目</w:t>
            </w:r>
          </w:p>
        </w:tc>
      </w:tr>
      <w:tr w14:paraId="7B4CD085">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4F15502">
            <w:pPr>
              <w:keepNext w:val="0"/>
              <w:keepLines w:val="0"/>
              <w:suppressLineNumbers w:val="0"/>
              <w:spacing w:before="0" w:beforeAutospacing="0" w:after="0" w:afterAutospacing="0"/>
              <w:ind w:left="0" w:right="0"/>
              <w:jc w:val="center"/>
              <w:rPr>
                <w:rFonts w:hint="default"/>
                <w:szCs w:val="21"/>
              </w:rPr>
            </w:pPr>
            <w:r>
              <w:rPr>
                <w:rFonts w:hint="default"/>
                <w:szCs w:val="21"/>
              </w:rPr>
              <w:t>1.1.5</w:t>
            </w:r>
          </w:p>
        </w:tc>
        <w:tc>
          <w:tcPr>
            <w:tcW w:w="1275" w:type="pct"/>
            <w:tcBorders>
              <w:top w:val="single" w:color="auto" w:sz="4" w:space="0"/>
              <w:left w:val="single" w:color="auto" w:sz="4" w:space="0"/>
              <w:bottom w:val="single" w:color="auto" w:sz="4" w:space="0"/>
              <w:right w:val="single" w:color="auto" w:sz="4" w:space="0"/>
            </w:tcBorders>
            <w:vAlign w:val="center"/>
          </w:tcPr>
          <w:p w14:paraId="159C1EAE">
            <w:pPr>
              <w:keepNext w:val="0"/>
              <w:keepLines w:val="0"/>
              <w:suppressLineNumbers w:val="0"/>
              <w:spacing w:before="0" w:beforeAutospacing="0" w:after="0" w:afterAutospacing="0"/>
              <w:ind w:left="0" w:right="0"/>
              <w:jc w:val="left"/>
              <w:rPr>
                <w:rFonts w:hint="default"/>
                <w:szCs w:val="21"/>
              </w:rPr>
            </w:pPr>
            <w:r>
              <w:rPr>
                <w:rFonts w:hint="default"/>
                <w:szCs w:val="21"/>
              </w:rPr>
              <w:t>建设地点</w:t>
            </w:r>
          </w:p>
        </w:tc>
        <w:tc>
          <w:tcPr>
            <w:tcW w:w="3265" w:type="pct"/>
            <w:tcBorders>
              <w:top w:val="single" w:color="auto" w:sz="4" w:space="0"/>
              <w:left w:val="single" w:color="auto" w:sz="4" w:space="0"/>
              <w:bottom w:val="single" w:color="auto" w:sz="4" w:space="0"/>
              <w:right w:val="single" w:color="auto" w:sz="4" w:space="0"/>
            </w:tcBorders>
            <w:vAlign w:val="center"/>
          </w:tcPr>
          <w:p w14:paraId="137FAEA6">
            <w:pPr>
              <w:keepNext w:val="0"/>
              <w:keepLines w:val="0"/>
              <w:suppressLineNumbers w:val="0"/>
              <w:spacing w:before="0" w:beforeAutospacing="0" w:after="0" w:afterAutospacing="0"/>
              <w:ind w:left="0" w:right="0"/>
              <w:jc w:val="left"/>
              <w:rPr>
                <w:rFonts w:hint="default"/>
                <w:szCs w:val="21"/>
              </w:rPr>
            </w:pPr>
            <w:r>
              <w:rPr>
                <w:rFonts w:hint="eastAsia"/>
                <w:bCs/>
                <w:szCs w:val="21"/>
              </w:rPr>
              <w:t>盐城市联鑫钢铁有限公司（</w:t>
            </w:r>
            <w:r>
              <w:rPr>
                <w:rFonts w:hint="eastAsia"/>
              </w:rPr>
              <w:t>江苏省盐城市大丰区大丰港经济区临港工业园</w:t>
            </w:r>
            <w:r>
              <w:rPr>
                <w:rFonts w:hint="eastAsia"/>
                <w:bCs/>
                <w:szCs w:val="21"/>
              </w:rPr>
              <w:t>）厂区内指定地点</w:t>
            </w:r>
          </w:p>
        </w:tc>
      </w:tr>
      <w:tr w14:paraId="350B516B">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1A995C2">
            <w:pPr>
              <w:keepNext w:val="0"/>
              <w:keepLines w:val="0"/>
              <w:suppressLineNumbers w:val="0"/>
              <w:spacing w:before="0" w:beforeAutospacing="0" w:after="0" w:afterAutospacing="0"/>
              <w:ind w:left="0" w:right="0"/>
              <w:jc w:val="center"/>
              <w:rPr>
                <w:rFonts w:hint="default"/>
                <w:szCs w:val="21"/>
              </w:rPr>
            </w:pPr>
            <w:r>
              <w:rPr>
                <w:rFonts w:hint="default"/>
                <w:szCs w:val="21"/>
              </w:rPr>
              <w:t>1.2.1</w:t>
            </w:r>
          </w:p>
        </w:tc>
        <w:tc>
          <w:tcPr>
            <w:tcW w:w="1275" w:type="pct"/>
            <w:tcBorders>
              <w:top w:val="single" w:color="auto" w:sz="4" w:space="0"/>
              <w:left w:val="single" w:color="auto" w:sz="4" w:space="0"/>
              <w:bottom w:val="single" w:color="auto" w:sz="4" w:space="0"/>
              <w:right w:val="single" w:color="auto" w:sz="4" w:space="0"/>
            </w:tcBorders>
            <w:vAlign w:val="center"/>
          </w:tcPr>
          <w:p w14:paraId="403E6E52">
            <w:pPr>
              <w:keepNext w:val="0"/>
              <w:keepLines w:val="0"/>
              <w:suppressLineNumbers w:val="0"/>
              <w:spacing w:before="0" w:beforeAutospacing="0" w:after="0" w:afterAutospacing="0"/>
              <w:ind w:left="0" w:right="0"/>
              <w:jc w:val="left"/>
              <w:rPr>
                <w:rFonts w:hint="default"/>
                <w:szCs w:val="21"/>
              </w:rPr>
            </w:pPr>
            <w:r>
              <w:rPr>
                <w:rFonts w:hint="default"/>
                <w:szCs w:val="21"/>
              </w:rPr>
              <w:t>资金来源</w:t>
            </w:r>
            <w:r>
              <w:rPr>
                <w:rFonts w:hint="eastAsia"/>
                <w:szCs w:val="21"/>
              </w:rPr>
              <w:t>及比例</w:t>
            </w:r>
          </w:p>
        </w:tc>
        <w:tc>
          <w:tcPr>
            <w:tcW w:w="3265" w:type="pct"/>
            <w:tcBorders>
              <w:top w:val="single" w:color="auto" w:sz="4" w:space="0"/>
              <w:left w:val="single" w:color="auto" w:sz="4" w:space="0"/>
              <w:bottom w:val="single" w:color="auto" w:sz="4" w:space="0"/>
              <w:right w:val="single" w:color="auto" w:sz="4" w:space="0"/>
            </w:tcBorders>
            <w:vAlign w:val="center"/>
          </w:tcPr>
          <w:p w14:paraId="6F895665">
            <w:pPr>
              <w:keepNext w:val="0"/>
              <w:keepLines w:val="0"/>
              <w:suppressLineNumbers w:val="0"/>
              <w:spacing w:before="0" w:beforeAutospacing="0" w:after="0" w:afterAutospacing="0"/>
              <w:ind w:left="0" w:right="0"/>
              <w:jc w:val="left"/>
              <w:rPr>
                <w:rFonts w:hint="default"/>
                <w:szCs w:val="21"/>
              </w:rPr>
            </w:pPr>
            <w:r>
              <w:rPr>
                <w:rFonts w:hint="default"/>
                <w:szCs w:val="21"/>
              </w:rPr>
              <w:t>建设资金来自</w:t>
            </w:r>
            <w:r>
              <w:rPr>
                <w:rFonts w:hint="eastAsia"/>
                <w:szCs w:val="21"/>
              </w:rPr>
              <w:t>企业私有资金</w:t>
            </w:r>
            <w:r>
              <w:rPr>
                <w:rFonts w:hint="default"/>
                <w:szCs w:val="21"/>
              </w:rPr>
              <w:t>，项目出资比例为100</w:t>
            </w:r>
            <w:r>
              <w:rPr>
                <w:rFonts w:hint="eastAsia"/>
                <w:szCs w:val="21"/>
              </w:rPr>
              <w:t>%</w:t>
            </w:r>
          </w:p>
        </w:tc>
      </w:tr>
      <w:tr w14:paraId="717CC0FC">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6C1529DE">
            <w:pPr>
              <w:keepNext w:val="0"/>
              <w:keepLines w:val="0"/>
              <w:suppressLineNumbers w:val="0"/>
              <w:spacing w:before="0" w:beforeAutospacing="0" w:after="0" w:afterAutospacing="0"/>
              <w:ind w:left="0" w:right="0"/>
              <w:jc w:val="center"/>
              <w:rPr>
                <w:rFonts w:hint="default"/>
                <w:szCs w:val="21"/>
              </w:rPr>
            </w:pPr>
            <w:r>
              <w:rPr>
                <w:rFonts w:hint="default"/>
                <w:szCs w:val="21"/>
              </w:rPr>
              <w:t>1.2.</w:t>
            </w:r>
            <w:r>
              <w:rPr>
                <w:rFonts w:hint="eastAsia"/>
                <w:szCs w:val="21"/>
              </w:rPr>
              <w:t>2</w:t>
            </w:r>
          </w:p>
        </w:tc>
        <w:tc>
          <w:tcPr>
            <w:tcW w:w="1275" w:type="pct"/>
            <w:tcBorders>
              <w:top w:val="single" w:color="auto" w:sz="4" w:space="0"/>
              <w:left w:val="single" w:color="auto" w:sz="4" w:space="0"/>
              <w:bottom w:val="single" w:color="auto" w:sz="4" w:space="0"/>
              <w:right w:val="single" w:color="auto" w:sz="4" w:space="0"/>
            </w:tcBorders>
            <w:vAlign w:val="center"/>
          </w:tcPr>
          <w:p w14:paraId="519B0482">
            <w:pPr>
              <w:keepNext w:val="0"/>
              <w:keepLines w:val="0"/>
              <w:suppressLineNumbers w:val="0"/>
              <w:spacing w:before="0" w:beforeAutospacing="0" w:after="0" w:afterAutospacing="0"/>
              <w:ind w:left="0" w:right="0"/>
              <w:jc w:val="left"/>
              <w:rPr>
                <w:rFonts w:hint="default"/>
                <w:szCs w:val="21"/>
              </w:rPr>
            </w:pPr>
            <w:r>
              <w:rPr>
                <w:rFonts w:hint="eastAsia"/>
                <w:szCs w:val="21"/>
              </w:rPr>
              <w:t>资金</w:t>
            </w:r>
            <w:r>
              <w:rPr>
                <w:rFonts w:hint="default"/>
                <w:szCs w:val="21"/>
              </w:rPr>
              <w:t>落实情况</w:t>
            </w:r>
          </w:p>
        </w:tc>
        <w:tc>
          <w:tcPr>
            <w:tcW w:w="3265" w:type="pct"/>
            <w:tcBorders>
              <w:top w:val="single" w:color="auto" w:sz="4" w:space="0"/>
              <w:left w:val="single" w:color="auto" w:sz="4" w:space="0"/>
              <w:bottom w:val="single" w:color="auto" w:sz="4" w:space="0"/>
              <w:right w:val="single" w:color="auto" w:sz="4" w:space="0"/>
            </w:tcBorders>
            <w:vAlign w:val="center"/>
          </w:tcPr>
          <w:p w14:paraId="61B4CE08">
            <w:pPr>
              <w:keepNext w:val="0"/>
              <w:keepLines w:val="0"/>
              <w:suppressLineNumbers w:val="0"/>
              <w:spacing w:before="0" w:beforeAutospacing="0" w:after="0" w:afterAutospacing="0"/>
              <w:ind w:left="0" w:right="0"/>
              <w:jc w:val="left"/>
              <w:rPr>
                <w:rFonts w:hint="default"/>
                <w:szCs w:val="21"/>
              </w:rPr>
            </w:pPr>
            <w:r>
              <w:rPr>
                <w:rFonts w:hint="eastAsia"/>
                <w:szCs w:val="21"/>
              </w:rPr>
              <w:t>已落实</w:t>
            </w:r>
          </w:p>
        </w:tc>
      </w:tr>
      <w:tr w14:paraId="0A970D4D">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56B0A3DE">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eastAsia"/>
                <w:szCs w:val="21"/>
              </w:rPr>
              <w:t>3</w:t>
            </w:r>
            <w:r>
              <w:rPr>
                <w:rFonts w:hint="default"/>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60C911BC">
            <w:pPr>
              <w:keepNext w:val="0"/>
              <w:keepLines w:val="0"/>
              <w:suppressLineNumbers w:val="0"/>
              <w:spacing w:before="0" w:beforeAutospacing="0" w:after="0" w:afterAutospacing="0"/>
              <w:ind w:left="0" w:right="0"/>
              <w:jc w:val="left"/>
              <w:rPr>
                <w:rFonts w:hint="default"/>
                <w:szCs w:val="21"/>
              </w:rPr>
            </w:pPr>
            <w:r>
              <w:rPr>
                <w:rFonts w:hint="default"/>
                <w:szCs w:val="21"/>
              </w:rPr>
              <w:t>招标范围</w:t>
            </w:r>
          </w:p>
        </w:tc>
        <w:tc>
          <w:tcPr>
            <w:tcW w:w="3265" w:type="pct"/>
            <w:tcBorders>
              <w:top w:val="single" w:color="auto" w:sz="4" w:space="0"/>
              <w:left w:val="single" w:color="auto" w:sz="4" w:space="0"/>
              <w:bottom w:val="single" w:color="auto" w:sz="4" w:space="0"/>
              <w:right w:val="single" w:color="auto" w:sz="4" w:space="0"/>
            </w:tcBorders>
            <w:vAlign w:val="center"/>
          </w:tcPr>
          <w:p w14:paraId="0AF07BE4">
            <w:pPr>
              <w:keepNext w:val="0"/>
              <w:keepLines w:val="0"/>
              <w:suppressLineNumbers w:val="0"/>
              <w:spacing w:before="0" w:beforeAutospacing="0" w:after="0" w:afterAutospacing="0"/>
              <w:ind w:left="0" w:right="0"/>
              <w:jc w:val="left"/>
              <w:rPr>
                <w:rFonts w:hint="default"/>
                <w:szCs w:val="21"/>
              </w:rPr>
            </w:pPr>
            <w:r>
              <w:rPr>
                <w:rFonts w:hint="eastAsia"/>
                <w:szCs w:val="21"/>
              </w:rPr>
              <w:t>见招标公告</w:t>
            </w:r>
          </w:p>
        </w:tc>
      </w:tr>
      <w:tr w14:paraId="5D265784">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4D3AA3C">
            <w:pPr>
              <w:keepNext w:val="0"/>
              <w:keepLines w:val="0"/>
              <w:suppressLineNumbers w:val="0"/>
              <w:spacing w:before="0" w:beforeAutospacing="0" w:after="0" w:afterAutospacing="0"/>
              <w:ind w:left="0" w:right="0"/>
              <w:jc w:val="center"/>
              <w:rPr>
                <w:rFonts w:hint="default"/>
                <w:szCs w:val="21"/>
              </w:rPr>
            </w:pPr>
            <w:r>
              <w:rPr>
                <w:rFonts w:hint="default"/>
                <w:szCs w:val="21"/>
              </w:rPr>
              <w:t>1.3.2</w:t>
            </w:r>
          </w:p>
        </w:tc>
        <w:tc>
          <w:tcPr>
            <w:tcW w:w="1275" w:type="pct"/>
            <w:tcBorders>
              <w:top w:val="single" w:color="auto" w:sz="4" w:space="0"/>
              <w:left w:val="single" w:color="auto" w:sz="4" w:space="0"/>
              <w:bottom w:val="single" w:color="auto" w:sz="4" w:space="0"/>
              <w:right w:val="single" w:color="auto" w:sz="4" w:space="0"/>
            </w:tcBorders>
            <w:vAlign w:val="center"/>
          </w:tcPr>
          <w:p w14:paraId="69FCCB69">
            <w:pPr>
              <w:keepNext w:val="0"/>
              <w:keepLines w:val="0"/>
              <w:suppressLineNumbers w:val="0"/>
              <w:spacing w:before="0" w:beforeAutospacing="0" w:after="0" w:afterAutospacing="0"/>
              <w:ind w:left="0" w:right="0"/>
              <w:jc w:val="left"/>
              <w:rPr>
                <w:rFonts w:hint="default"/>
                <w:szCs w:val="21"/>
                <w:highlight w:val="cyan"/>
              </w:rPr>
            </w:pPr>
            <w:r>
              <w:rPr>
                <w:rFonts w:hint="default"/>
                <w:szCs w:val="21"/>
                <w:highlight w:val="none"/>
              </w:rPr>
              <w:t>计划工期</w:t>
            </w:r>
          </w:p>
        </w:tc>
        <w:tc>
          <w:tcPr>
            <w:tcW w:w="3265" w:type="pct"/>
            <w:tcBorders>
              <w:top w:val="single" w:color="auto" w:sz="4" w:space="0"/>
              <w:left w:val="single" w:color="auto" w:sz="4" w:space="0"/>
              <w:bottom w:val="single" w:color="auto" w:sz="4" w:space="0"/>
              <w:right w:val="single" w:color="auto" w:sz="4" w:space="0"/>
            </w:tcBorders>
            <w:vAlign w:val="center"/>
          </w:tcPr>
          <w:p w14:paraId="04B826F0">
            <w:pPr>
              <w:keepNext w:val="0"/>
              <w:keepLines w:val="0"/>
              <w:suppressLineNumbers w:val="0"/>
              <w:spacing w:before="0" w:beforeAutospacing="0" w:after="0" w:afterAutospacing="0"/>
              <w:ind w:left="0" w:right="0"/>
              <w:jc w:val="left"/>
              <w:rPr>
                <w:rFonts w:hint="default" w:eastAsia="宋体"/>
                <w:szCs w:val="21"/>
                <w:highlight w:val="none"/>
                <w:lang w:val="en-US" w:eastAsia="zh-CN"/>
              </w:rPr>
            </w:pPr>
            <w:r>
              <w:rPr>
                <w:rFonts w:hint="default"/>
                <w:szCs w:val="21"/>
                <w:highlight w:val="none"/>
              </w:rPr>
              <w:t>计划工期：</w:t>
            </w:r>
            <w:r>
              <w:rPr>
                <w:rFonts w:hint="eastAsia"/>
                <w:szCs w:val="21"/>
                <w:highlight w:val="none"/>
              </w:rPr>
              <w:t>LF炉8个月具备投产条件，VD炉和连铸11个月具备投产条件，轧钢于引进设备运抵现场后3个月具备投产条件；工期有±15天的调整时间。</w:t>
            </w:r>
          </w:p>
          <w:p w14:paraId="5F6573E2">
            <w:pPr>
              <w:keepNext w:val="0"/>
              <w:keepLines w:val="0"/>
              <w:suppressLineNumbers w:val="0"/>
              <w:spacing w:before="0" w:beforeAutospacing="0" w:after="0" w:afterAutospacing="0"/>
              <w:ind w:left="0" w:right="0"/>
              <w:jc w:val="left"/>
              <w:rPr>
                <w:rFonts w:hint="default"/>
                <w:szCs w:val="21"/>
                <w:highlight w:val="none"/>
              </w:rPr>
            </w:pPr>
            <w:r>
              <w:rPr>
                <w:rFonts w:hint="default"/>
                <w:szCs w:val="21"/>
                <w:highlight w:val="none"/>
              </w:rPr>
              <w:t>计划</w:t>
            </w:r>
            <w:r>
              <w:rPr>
                <w:rFonts w:hint="eastAsia"/>
                <w:szCs w:val="21"/>
                <w:highlight w:val="none"/>
              </w:rPr>
              <w:t>开始工作日期</w:t>
            </w:r>
            <w:r>
              <w:rPr>
                <w:rFonts w:hint="default"/>
                <w:szCs w:val="21"/>
                <w:highlight w:val="none"/>
              </w:rPr>
              <w:t>：</w:t>
            </w:r>
            <w:r>
              <w:rPr>
                <w:rFonts w:hint="default"/>
                <w:szCs w:val="21"/>
                <w:highlight w:val="none"/>
                <w:u w:val="single"/>
              </w:rPr>
              <w:t xml:space="preserve"> </w:t>
            </w:r>
            <w:r>
              <w:rPr>
                <w:rFonts w:hint="eastAsia"/>
                <w:szCs w:val="21"/>
                <w:highlight w:val="none"/>
                <w:u w:val="single"/>
                <w:lang w:val="en-US" w:eastAsia="zh-CN"/>
              </w:rPr>
              <w:t>2025</w:t>
            </w:r>
            <w:r>
              <w:rPr>
                <w:rFonts w:hint="default"/>
                <w:szCs w:val="21"/>
                <w:highlight w:val="none"/>
                <w:u w:val="single"/>
              </w:rPr>
              <w:t xml:space="preserve">   </w:t>
            </w:r>
            <w:r>
              <w:rPr>
                <w:rFonts w:hint="default"/>
                <w:szCs w:val="21"/>
                <w:highlight w:val="none"/>
              </w:rPr>
              <w:t>年</w:t>
            </w:r>
            <w:r>
              <w:rPr>
                <w:rFonts w:hint="default"/>
                <w:szCs w:val="21"/>
                <w:highlight w:val="none"/>
                <w:u w:val="single"/>
              </w:rPr>
              <w:t xml:space="preserve">    </w:t>
            </w:r>
            <w:r>
              <w:rPr>
                <w:rFonts w:hint="default"/>
                <w:szCs w:val="21"/>
                <w:highlight w:val="none"/>
              </w:rPr>
              <w:t>月</w:t>
            </w:r>
            <w:r>
              <w:rPr>
                <w:rFonts w:hint="default"/>
                <w:szCs w:val="21"/>
                <w:highlight w:val="none"/>
                <w:u w:val="single"/>
              </w:rPr>
              <w:t xml:space="preserve">    </w:t>
            </w:r>
            <w:r>
              <w:rPr>
                <w:rFonts w:hint="default"/>
                <w:szCs w:val="21"/>
                <w:highlight w:val="none"/>
              </w:rPr>
              <w:t>日</w:t>
            </w:r>
          </w:p>
          <w:p w14:paraId="60DED946">
            <w:pPr>
              <w:keepNext w:val="0"/>
              <w:keepLines w:val="0"/>
              <w:suppressLineNumbers w:val="0"/>
              <w:spacing w:before="0" w:beforeAutospacing="0" w:after="0" w:afterAutospacing="0"/>
              <w:ind w:left="0" w:right="0"/>
              <w:jc w:val="left"/>
              <w:rPr>
                <w:rFonts w:hint="default"/>
                <w:szCs w:val="21"/>
                <w:highlight w:val="cyan"/>
              </w:rPr>
            </w:pPr>
            <w:r>
              <w:rPr>
                <w:rFonts w:hint="default"/>
                <w:szCs w:val="21"/>
                <w:highlight w:val="none"/>
              </w:rPr>
              <w:t>计划</w:t>
            </w:r>
            <w:r>
              <w:rPr>
                <w:rFonts w:hint="eastAsia"/>
                <w:highlight w:val="none"/>
              </w:rPr>
              <w:t>竣工</w:t>
            </w:r>
            <w:r>
              <w:rPr>
                <w:rFonts w:hint="default"/>
                <w:szCs w:val="21"/>
                <w:highlight w:val="none"/>
              </w:rPr>
              <w:t>日期：</w:t>
            </w:r>
            <w:r>
              <w:rPr>
                <w:rFonts w:hint="default"/>
                <w:szCs w:val="21"/>
                <w:highlight w:val="none"/>
                <w:u w:val="single"/>
              </w:rPr>
              <w:t xml:space="preserve">  </w:t>
            </w:r>
            <w:r>
              <w:rPr>
                <w:rFonts w:hint="eastAsia"/>
                <w:szCs w:val="21"/>
                <w:highlight w:val="none"/>
                <w:u w:val="single"/>
                <w:lang w:val="en-US" w:eastAsia="zh-CN"/>
              </w:rPr>
              <w:t>2025</w:t>
            </w:r>
            <w:r>
              <w:rPr>
                <w:rFonts w:hint="default"/>
                <w:szCs w:val="21"/>
                <w:highlight w:val="none"/>
                <w:u w:val="single"/>
              </w:rPr>
              <w:t xml:space="preserve">  </w:t>
            </w:r>
            <w:r>
              <w:rPr>
                <w:rFonts w:hint="default"/>
                <w:szCs w:val="21"/>
                <w:highlight w:val="none"/>
              </w:rPr>
              <w:t xml:space="preserve">年 </w:t>
            </w:r>
            <w:r>
              <w:rPr>
                <w:rFonts w:hint="default"/>
                <w:szCs w:val="21"/>
                <w:highlight w:val="none"/>
                <w:u w:val="single"/>
              </w:rPr>
              <w:t xml:space="preserve">   </w:t>
            </w:r>
            <w:r>
              <w:rPr>
                <w:rFonts w:hint="default"/>
                <w:szCs w:val="21"/>
                <w:highlight w:val="none"/>
              </w:rPr>
              <w:t>月</w:t>
            </w:r>
            <w:r>
              <w:rPr>
                <w:rFonts w:hint="default"/>
                <w:szCs w:val="21"/>
                <w:highlight w:val="none"/>
                <w:u w:val="single"/>
              </w:rPr>
              <w:t xml:space="preserve">    </w:t>
            </w:r>
            <w:r>
              <w:rPr>
                <w:rFonts w:hint="default"/>
                <w:szCs w:val="21"/>
                <w:highlight w:val="none"/>
              </w:rPr>
              <w:t>日</w:t>
            </w:r>
          </w:p>
        </w:tc>
      </w:tr>
      <w:tr w14:paraId="0FDE47C9">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584C4FA8">
            <w:pPr>
              <w:keepNext w:val="0"/>
              <w:keepLines w:val="0"/>
              <w:suppressLineNumbers w:val="0"/>
              <w:spacing w:before="0" w:beforeAutospacing="0" w:after="0" w:afterAutospacing="0"/>
              <w:ind w:left="0" w:right="0"/>
              <w:jc w:val="center"/>
              <w:rPr>
                <w:rFonts w:hint="default"/>
                <w:szCs w:val="21"/>
              </w:rPr>
            </w:pPr>
            <w:r>
              <w:rPr>
                <w:rFonts w:hint="default"/>
                <w:szCs w:val="21"/>
              </w:rPr>
              <w:t>1.3.3</w:t>
            </w:r>
          </w:p>
        </w:tc>
        <w:tc>
          <w:tcPr>
            <w:tcW w:w="1275" w:type="pct"/>
            <w:tcBorders>
              <w:top w:val="single" w:color="auto" w:sz="4" w:space="0"/>
              <w:left w:val="single" w:color="auto" w:sz="4" w:space="0"/>
              <w:bottom w:val="single" w:color="auto" w:sz="4" w:space="0"/>
              <w:right w:val="single" w:color="auto" w:sz="4" w:space="0"/>
            </w:tcBorders>
            <w:vAlign w:val="center"/>
          </w:tcPr>
          <w:p w14:paraId="6116FD7A">
            <w:pPr>
              <w:keepNext w:val="0"/>
              <w:keepLines w:val="0"/>
              <w:suppressLineNumbers w:val="0"/>
              <w:spacing w:before="0" w:beforeAutospacing="0" w:after="0" w:afterAutospacing="0"/>
              <w:ind w:left="0" w:right="0"/>
              <w:jc w:val="left"/>
              <w:rPr>
                <w:rFonts w:hint="default"/>
                <w:szCs w:val="21"/>
              </w:rPr>
            </w:pPr>
            <w:r>
              <w:rPr>
                <w:rFonts w:hint="default"/>
                <w:szCs w:val="21"/>
              </w:rPr>
              <w:t>质量</w:t>
            </w:r>
            <w:r>
              <w:rPr>
                <w:rFonts w:hint="eastAsia"/>
                <w:szCs w:val="21"/>
              </w:rPr>
              <w:t>标准</w:t>
            </w:r>
          </w:p>
        </w:tc>
        <w:tc>
          <w:tcPr>
            <w:tcW w:w="3265" w:type="pct"/>
            <w:tcBorders>
              <w:top w:val="single" w:color="auto" w:sz="4" w:space="0"/>
              <w:left w:val="single" w:color="auto" w:sz="4" w:space="0"/>
              <w:bottom w:val="single" w:color="auto" w:sz="4" w:space="0"/>
              <w:right w:val="single" w:color="auto" w:sz="4" w:space="0"/>
            </w:tcBorders>
            <w:vAlign w:val="center"/>
          </w:tcPr>
          <w:p w14:paraId="1E5A7DE4">
            <w:pPr>
              <w:keepNext w:val="0"/>
              <w:keepLines w:val="0"/>
              <w:suppressLineNumbers w:val="0"/>
              <w:spacing w:before="0" w:beforeAutospacing="0" w:after="0" w:afterAutospacing="0"/>
              <w:ind w:left="0" w:right="0"/>
              <w:jc w:val="left"/>
              <w:rPr>
                <w:rFonts w:hint="default"/>
                <w:szCs w:val="21"/>
              </w:rPr>
            </w:pPr>
            <w:r>
              <w:rPr>
                <w:rFonts w:hint="default"/>
                <w:szCs w:val="21"/>
              </w:rPr>
              <w:t>设计质量标准：</w:t>
            </w:r>
            <w:r>
              <w:rPr>
                <w:rFonts w:hint="eastAsia"/>
                <w:szCs w:val="21"/>
              </w:rPr>
              <w:t>质量合格。</w:t>
            </w:r>
          </w:p>
          <w:p w14:paraId="16FE54A2">
            <w:pPr>
              <w:pStyle w:val="588"/>
              <w:keepNext w:val="0"/>
              <w:keepLines w:val="0"/>
              <w:suppressLineNumbers w:val="0"/>
              <w:spacing w:before="0" w:beforeAutospacing="0" w:after="0" w:afterAutospacing="0"/>
              <w:ind w:left="0" w:right="0" w:firstLine="0" w:firstLineChars="0"/>
              <w:rPr>
                <w:rFonts w:hint="default"/>
              </w:rPr>
            </w:pPr>
            <w:r>
              <w:rPr>
                <w:rFonts w:hint="default"/>
              </w:rPr>
              <w:t>施工质量标准：</w:t>
            </w:r>
            <w:r>
              <w:rPr>
                <w:rFonts w:hint="eastAsia"/>
              </w:rPr>
              <w:t>质量合格。</w:t>
            </w:r>
          </w:p>
        </w:tc>
      </w:tr>
      <w:tr w14:paraId="0B4C0097">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343EC2E">
            <w:pPr>
              <w:keepNext w:val="0"/>
              <w:keepLines w:val="0"/>
              <w:suppressLineNumbers w:val="0"/>
              <w:spacing w:before="0" w:beforeAutospacing="0" w:after="0" w:afterAutospacing="0"/>
              <w:ind w:left="0" w:right="0"/>
              <w:jc w:val="center"/>
              <w:rPr>
                <w:rFonts w:hint="default"/>
                <w:szCs w:val="21"/>
              </w:rPr>
            </w:pPr>
            <w:r>
              <w:rPr>
                <w:rFonts w:hint="default"/>
                <w:szCs w:val="21"/>
              </w:rPr>
              <w:t>1.4.1</w:t>
            </w:r>
          </w:p>
        </w:tc>
        <w:tc>
          <w:tcPr>
            <w:tcW w:w="1275" w:type="pct"/>
            <w:tcBorders>
              <w:top w:val="single" w:color="auto" w:sz="4" w:space="0"/>
              <w:left w:val="single" w:color="auto" w:sz="4" w:space="0"/>
              <w:bottom w:val="single" w:color="auto" w:sz="4" w:space="0"/>
              <w:right w:val="single" w:color="auto" w:sz="4" w:space="0"/>
            </w:tcBorders>
            <w:vAlign w:val="center"/>
          </w:tcPr>
          <w:p w14:paraId="64A2F044">
            <w:pPr>
              <w:keepNext w:val="0"/>
              <w:keepLines w:val="0"/>
              <w:suppressLineNumbers w:val="0"/>
              <w:spacing w:before="0" w:beforeAutospacing="0" w:after="0" w:afterAutospacing="0"/>
              <w:ind w:left="0" w:right="0"/>
              <w:jc w:val="left"/>
              <w:rPr>
                <w:rFonts w:hint="default"/>
                <w:szCs w:val="21"/>
              </w:rPr>
            </w:pPr>
            <w:r>
              <w:rPr>
                <w:rFonts w:hint="default"/>
                <w:szCs w:val="21"/>
              </w:rPr>
              <w:t>投标人资质条件</w:t>
            </w:r>
            <w:r>
              <w:rPr>
                <w:rFonts w:hint="eastAsia"/>
                <w:szCs w:val="21"/>
              </w:rPr>
              <w:t>和</w:t>
            </w:r>
            <w:r>
              <w:rPr>
                <w:rFonts w:hint="default"/>
                <w:szCs w:val="21"/>
              </w:rPr>
              <w:t>能力</w:t>
            </w:r>
          </w:p>
          <w:p w14:paraId="447E2D13">
            <w:pPr>
              <w:keepNext w:val="0"/>
              <w:keepLines w:val="0"/>
              <w:suppressLineNumbers w:val="0"/>
              <w:spacing w:before="0" w:beforeAutospacing="0" w:after="0" w:afterAutospacing="0"/>
              <w:ind w:left="0" w:right="0"/>
              <w:jc w:val="left"/>
              <w:rPr>
                <w:rFonts w:hint="default"/>
                <w:szCs w:val="21"/>
              </w:rPr>
            </w:pPr>
          </w:p>
        </w:tc>
        <w:tc>
          <w:tcPr>
            <w:tcW w:w="3265" w:type="pct"/>
            <w:tcBorders>
              <w:top w:val="single" w:color="auto" w:sz="4" w:space="0"/>
              <w:left w:val="single" w:color="auto" w:sz="4" w:space="0"/>
              <w:bottom w:val="single" w:color="auto" w:sz="4" w:space="0"/>
              <w:right w:val="single" w:color="auto" w:sz="4" w:space="0"/>
            </w:tcBorders>
            <w:vAlign w:val="center"/>
          </w:tcPr>
          <w:p w14:paraId="1D81925C">
            <w:pPr>
              <w:keepNext w:val="0"/>
              <w:keepLines w:val="0"/>
              <w:suppressLineNumbers w:val="0"/>
              <w:spacing w:before="0" w:beforeAutospacing="0" w:after="0" w:afterAutospacing="0"/>
              <w:ind w:left="0" w:right="0"/>
              <w:jc w:val="left"/>
              <w:rPr>
                <w:rFonts w:hint="default"/>
                <w:szCs w:val="21"/>
              </w:rPr>
            </w:pPr>
            <w:r>
              <w:rPr>
                <w:rFonts w:hint="default"/>
                <w:szCs w:val="21"/>
              </w:rPr>
              <w:t>资质条件：</w:t>
            </w:r>
            <w:r>
              <w:rPr>
                <w:rFonts w:hint="eastAsia"/>
                <w:szCs w:val="21"/>
              </w:rPr>
              <w:t>见招标公告</w:t>
            </w:r>
          </w:p>
          <w:p w14:paraId="079C8485">
            <w:pPr>
              <w:keepNext w:val="0"/>
              <w:keepLines w:val="0"/>
              <w:suppressLineNumbers w:val="0"/>
              <w:spacing w:before="0" w:beforeAutospacing="0" w:after="0" w:afterAutospacing="0"/>
              <w:ind w:left="0" w:right="0"/>
              <w:jc w:val="left"/>
              <w:rPr>
                <w:rFonts w:hint="default"/>
              </w:rPr>
            </w:pPr>
            <w:r>
              <w:rPr>
                <w:rFonts w:hint="default"/>
                <w:szCs w:val="21"/>
              </w:rPr>
              <w:t>项目经理</w:t>
            </w:r>
            <w:r>
              <w:rPr>
                <w:rFonts w:hint="eastAsia"/>
                <w:szCs w:val="21"/>
              </w:rPr>
              <w:t>的资格要求：见招标公告</w:t>
            </w:r>
          </w:p>
        </w:tc>
      </w:tr>
      <w:tr w14:paraId="152AD337">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BDB80F6">
            <w:pPr>
              <w:keepNext w:val="0"/>
              <w:keepLines w:val="0"/>
              <w:suppressLineNumbers w:val="0"/>
              <w:spacing w:before="0" w:beforeAutospacing="0" w:after="0" w:afterAutospacing="0"/>
              <w:ind w:left="0" w:right="0"/>
              <w:jc w:val="center"/>
              <w:rPr>
                <w:rFonts w:hint="default"/>
                <w:szCs w:val="21"/>
              </w:rPr>
            </w:pPr>
            <w:r>
              <w:rPr>
                <w:rFonts w:hint="default"/>
                <w:szCs w:val="21"/>
              </w:rPr>
              <w:t>1.4.2</w:t>
            </w:r>
          </w:p>
        </w:tc>
        <w:tc>
          <w:tcPr>
            <w:tcW w:w="1275" w:type="pct"/>
            <w:tcBorders>
              <w:top w:val="single" w:color="auto" w:sz="4" w:space="0"/>
              <w:left w:val="single" w:color="auto" w:sz="4" w:space="0"/>
              <w:bottom w:val="single" w:color="auto" w:sz="4" w:space="0"/>
              <w:right w:val="single" w:color="auto" w:sz="4" w:space="0"/>
            </w:tcBorders>
            <w:vAlign w:val="center"/>
          </w:tcPr>
          <w:p w14:paraId="2B2E7892">
            <w:pPr>
              <w:keepNext w:val="0"/>
              <w:keepLines w:val="0"/>
              <w:suppressLineNumbers w:val="0"/>
              <w:spacing w:before="0" w:beforeAutospacing="0" w:after="0" w:afterAutospacing="0"/>
              <w:ind w:left="0" w:right="0"/>
              <w:jc w:val="left"/>
              <w:rPr>
                <w:rFonts w:hint="default"/>
                <w:szCs w:val="21"/>
              </w:rPr>
            </w:pPr>
            <w:r>
              <w:rPr>
                <w:rFonts w:hint="default"/>
                <w:szCs w:val="21"/>
              </w:rPr>
              <w:t>是否接受联合体投标</w:t>
            </w:r>
          </w:p>
        </w:tc>
        <w:tc>
          <w:tcPr>
            <w:tcW w:w="3265" w:type="pct"/>
            <w:tcBorders>
              <w:top w:val="single" w:color="auto" w:sz="4" w:space="0"/>
              <w:left w:val="single" w:color="auto" w:sz="4" w:space="0"/>
              <w:bottom w:val="single" w:color="auto" w:sz="4" w:space="0"/>
              <w:right w:val="single" w:color="auto" w:sz="4" w:space="0"/>
            </w:tcBorders>
            <w:vAlign w:val="center"/>
          </w:tcPr>
          <w:p w14:paraId="40A7B85D">
            <w:pPr>
              <w:keepNext w:val="0"/>
              <w:keepLines w:val="0"/>
              <w:suppressLineNumbers w:val="0"/>
              <w:spacing w:before="0" w:beforeAutospacing="0" w:after="0" w:afterAutospacing="0"/>
              <w:ind w:left="0" w:right="0"/>
              <w:rPr>
                <w:rFonts w:hint="default"/>
                <w:szCs w:val="21"/>
              </w:rPr>
            </w:pPr>
            <w:r>
              <w:rPr>
                <w:rFonts w:hint="eastAsia"/>
                <w:szCs w:val="21"/>
              </w:rPr>
              <w:t>接受，应满足下列要求：</w:t>
            </w:r>
          </w:p>
          <w:p w14:paraId="30F6095D">
            <w:pPr>
              <w:keepNext w:val="0"/>
              <w:keepLines w:val="0"/>
              <w:suppressLineNumbers w:val="0"/>
              <w:spacing w:before="0" w:beforeAutospacing="0" w:after="0" w:afterAutospacing="0"/>
              <w:ind w:left="0" w:right="0"/>
              <w:rPr>
                <w:rFonts w:hint="default"/>
                <w:szCs w:val="21"/>
              </w:rPr>
            </w:pPr>
            <w:r>
              <w:rPr>
                <w:rFonts w:hint="eastAsia"/>
                <w:szCs w:val="21"/>
              </w:rPr>
              <w:t>（1）联合体成员不能超过</w:t>
            </w:r>
            <w:r>
              <w:rPr>
                <w:rFonts w:hint="default"/>
                <w:szCs w:val="21"/>
              </w:rPr>
              <w:t>2</w:t>
            </w:r>
            <w:r>
              <w:rPr>
                <w:rFonts w:hint="eastAsia"/>
                <w:szCs w:val="21"/>
              </w:rPr>
              <w:t>家，以设计单位为联合体牵头人；</w:t>
            </w:r>
          </w:p>
          <w:p w14:paraId="6F464CF2">
            <w:pPr>
              <w:keepNext w:val="0"/>
              <w:keepLines w:val="0"/>
              <w:suppressLineNumbers w:val="0"/>
              <w:spacing w:before="0" w:beforeAutospacing="0" w:after="0" w:afterAutospacing="0"/>
              <w:ind w:left="0" w:right="0"/>
              <w:rPr>
                <w:rFonts w:hint="default"/>
              </w:rPr>
            </w:pPr>
            <w:r>
              <w:rPr>
                <w:rFonts w:hint="eastAsia"/>
                <w:szCs w:val="21"/>
              </w:rPr>
              <w:t>（2）联合体各方主体之间必须签订内容具体、分工明确、权责清晰的联合体协议，</w:t>
            </w:r>
            <w:r>
              <w:rPr>
                <w:rFonts w:hint="eastAsia"/>
              </w:rPr>
              <w:t>具体内容应参照招标文件联合体协议书内容要求；</w:t>
            </w:r>
          </w:p>
          <w:p w14:paraId="46B4A5D7">
            <w:pPr>
              <w:keepNext w:val="0"/>
              <w:keepLines w:val="0"/>
              <w:suppressLineNumbers w:val="0"/>
              <w:spacing w:before="0" w:beforeAutospacing="0" w:after="0" w:afterAutospacing="0"/>
              <w:ind w:left="0" w:right="0"/>
              <w:jc w:val="left"/>
              <w:rPr>
                <w:rFonts w:hint="default"/>
                <w:szCs w:val="21"/>
              </w:rPr>
            </w:pPr>
            <w:r>
              <w:rPr>
                <w:rFonts w:hint="eastAsia"/>
                <w:szCs w:val="21"/>
              </w:rPr>
              <w:t>（3）联合体各成员方须具备招标文件要求的相应资质，没有相应资质的不得组建联合体。</w:t>
            </w:r>
          </w:p>
        </w:tc>
      </w:tr>
      <w:tr w14:paraId="22422170">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55FF4085">
            <w:pPr>
              <w:keepNext w:val="0"/>
              <w:keepLines w:val="0"/>
              <w:suppressLineNumbers w:val="0"/>
              <w:spacing w:before="0" w:beforeAutospacing="0" w:after="0" w:afterAutospacing="0"/>
              <w:ind w:left="0" w:right="0"/>
              <w:jc w:val="center"/>
              <w:rPr>
                <w:rFonts w:hint="default"/>
                <w:szCs w:val="21"/>
              </w:rPr>
            </w:pPr>
            <w:r>
              <w:rPr>
                <w:rFonts w:hint="eastAsia"/>
                <w:szCs w:val="21"/>
              </w:rPr>
              <w:t>1.5</w:t>
            </w:r>
          </w:p>
        </w:tc>
        <w:tc>
          <w:tcPr>
            <w:tcW w:w="1275" w:type="pct"/>
            <w:tcBorders>
              <w:top w:val="single" w:color="auto" w:sz="4" w:space="0"/>
              <w:left w:val="single" w:color="auto" w:sz="4" w:space="0"/>
              <w:bottom w:val="single" w:color="auto" w:sz="4" w:space="0"/>
              <w:right w:val="single" w:color="auto" w:sz="4" w:space="0"/>
            </w:tcBorders>
            <w:vAlign w:val="center"/>
          </w:tcPr>
          <w:p w14:paraId="331DCA29">
            <w:pPr>
              <w:keepNext w:val="0"/>
              <w:keepLines w:val="0"/>
              <w:suppressLineNumbers w:val="0"/>
              <w:spacing w:before="0" w:beforeAutospacing="0" w:after="0" w:afterAutospacing="0"/>
              <w:ind w:left="0" w:right="0"/>
              <w:jc w:val="left"/>
              <w:rPr>
                <w:rFonts w:hint="default"/>
                <w:szCs w:val="21"/>
              </w:rPr>
            </w:pPr>
            <w:r>
              <w:rPr>
                <w:rFonts w:hint="eastAsia"/>
                <w:szCs w:val="21"/>
              </w:rPr>
              <w:t>费用承担和设计成果补偿</w:t>
            </w:r>
          </w:p>
        </w:tc>
        <w:tc>
          <w:tcPr>
            <w:tcW w:w="3265" w:type="pct"/>
            <w:tcBorders>
              <w:top w:val="single" w:color="auto" w:sz="4" w:space="0"/>
              <w:left w:val="single" w:color="auto" w:sz="4" w:space="0"/>
              <w:bottom w:val="single" w:color="auto" w:sz="4" w:space="0"/>
              <w:right w:val="single" w:color="auto" w:sz="4" w:space="0"/>
            </w:tcBorders>
            <w:vAlign w:val="center"/>
          </w:tcPr>
          <w:p w14:paraId="1FF7DDF0">
            <w:pPr>
              <w:keepNext w:val="0"/>
              <w:keepLines w:val="0"/>
              <w:suppressLineNumbers w:val="0"/>
              <w:spacing w:before="0" w:beforeAutospacing="0" w:after="0" w:afterAutospacing="0"/>
              <w:ind w:left="0" w:right="0"/>
              <w:jc w:val="left"/>
              <w:rPr>
                <w:rFonts w:hint="default"/>
                <w:szCs w:val="21"/>
              </w:rPr>
            </w:pPr>
            <w:r>
              <w:rPr>
                <w:rFonts w:hint="default"/>
                <w:szCs w:val="21"/>
                <w:woUserID w:val="2"/>
              </w:rPr>
              <w:t>无</w:t>
            </w:r>
          </w:p>
        </w:tc>
      </w:tr>
      <w:tr w14:paraId="12826FAE">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7E87DBD2">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default"/>
                <w:szCs w:val="21"/>
                <w:woUserID w:val="2"/>
              </w:rPr>
              <w:t>6</w:t>
            </w:r>
            <w:r>
              <w:rPr>
                <w:rFonts w:hint="default"/>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141F2581">
            <w:pPr>
              <w:keepNext w:val="0"/>
              <w:keepLines w:val="0"/>
              <w:suppressLineNumbers w:val="0"/>
              <w:spacing w:before="0" w:beforeAutospacing="0" w:after="0" w:afterAutospacing="0"/>
              <w:ind w:left="0" w:right="0"/>
              <w:jc w:val="left"/>
              <w:rPr>
                <w:rFonts w:hint="default"/>
                <w:szCs w:val="21"/>
              </w:rPr>
            </w:pPr>
            <w:r>
              <w:rPr>
                <w:rFonts w:hint="eastAsia"/>
                <w:szCs w:val="21"/>
              </w:rPr>
              <w:t>踏勘</w:t>
            </w:r>
          </w:p>
        </w:tc>
        <w:tc>
          <w:tcPr>
            <w:tcW w:w="3265" w:type="pct"/>
            <w:tcBorders>
              <w:top w:val="single" w:color="auto" w:sz="4" w:space="0"/>
              <w:left w:val="single" w:color="auto" w:sz="4" w:space="0"/>
              <w:bottom w:val="single" w:color="auto" w:sz="4" w:space="0"/>
              <w:right w:val="single" w:color="auto" w:sz="4" w:space="0"/>
            </w:tcBorders>
            <w:vAlign w:val="center"/>
          </w:tcPr>
          <w:p w14:paraId="077E3C94">
            <w:pPr>
              <w:keepNext w:val="0"/>
              <w:keepLines w:val="0"/>
              <w:suppressLineNumbers w:val="0"/>
              <w:spacing w:before="0" w:beforeAutospacing="0" w:after="0" w:afterAutospacing="0"/>
              <w:ind w:left="0" w:right="0"/>
              <w:jc w:val="left"/>
              <w:rPr>
                <w:rFonts w:hint="default"/>
                <w:szCs w:val="21"/>
              </w:rPr>
            </w:pPr>
            <w:r>
              <w:rPr>
                <w:rFonts w:hint="eastAsia"/>
                <w:szCs w:val="21"/>
              </w:rPr>
              <w:t>不集中组织现场踏勘。</w:t>
            </w:r>
          </w:p>
          <w:p w14:paraId="330B5885">
            <w:pPr>
              <w:keepNext w:val="0"/>
              <w:keepLines w:val="0"/>
              <w:suppressLineNumbers w:val="0"/>
              <w:spacing w:before="0" w:beforeAutospacing="0" w:after="0" w:afterAutospacing="0"/>
              <w:ind w:left="0" w:right="0"/>
              <w:jc w:val="left"/>
              <w:rPr>
                <w:rFonts w:hint="default"/>
                <w:szCs w:val="21"/>
              </w:rPr>
            </w:pPr>
            <w:r>
              <w:rPr>
                <w:rFonts w:hint="eastAsia"/>
                <w:szCs w:val="21"/>
              </w:rPr>
              <w:t>如果投标人自行踏勘现场的，应按照招标人的管理要求进行，踏勘现场发生的一切费用自理，对此次踏勘现场而造成的死亡、人身伤害、财产损失、损害以及任何其它损失、损害、引起的费用和开支承担全部责任。</w:t>
            </w:r>
          </w:p>
        </w:tc>
      </w:tr>
      <w:tr w14:paraId="40CA5A14">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B1335D9">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default"/>
                <w:szCs w:val="21"/>
                <w:woUserID w:val="2"/>
              </w:rPr>
              <w:t>7</w:t>
            </w:r>
            <w:r>
              <w:rPr>
                <w:rFonts w:hint="default"/>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2DD29EA6">
            <w:pPr>
              <w:keepNext w:val="0"/>
              <w:keepLines w:val="0"/>
              <w:suppressLineNumbers w:val="0"/>
              <w:spacing w:before="0" w:beforeAutospacing="0" w:after="0" w:afterAutospacing="0"/>
              <w:ind w:left="0" w:right="0"/>
              <w:jc w:val="left"/>
              <w:rPr>
                <w:rFonts w:hint="default"/>
                <w:szCs w:val="21"/>
              </w:rPr>
            </w:pPr>
            <w:r>
              <w:rPr>
                <w:rFonts w:hint="default"/>
                <w:szCs w:val="21"/>
              </w:rPr>
              <w:t>投标预备会</w:t>
            </w:r>
          </w:p>
        </w:tc>
        <w:tc>
          <w:tcPr>
            <w:tcW w:w="3265" w:type="pct"/>
            <w:tcBorders>
              <w:top w:val="single" w:color="auto" w:sz="4" w:space="0"/>
              <w:left w:val="single" w:color="auto" w:sz="4" w:space="0"/>
              <w:bottom w:val="single" w:color="auto" w:sz="4" w:space="0"/>
              <w:right w:val="single" w:color="auto" w:sz="4" w:space="0"/>
            </w:tcBorders>
            <w:vAlign w:val="center"/>
          </w:tcPr>
          <w:p w14:paraId="6622046A">
            <w:pPr>
              <w:pStyle w:val="17"/>
              <w:keepNext w:val="0"/>
              <w:keepLines w:val="0"/>
              <w:suppressLineNumbers w:val="0"/>
              <w:spacing w:before="0" w:beforeAutospacing="0" w:after="0" w:afterAutospacing="0"/>
              <w:ind w:left="0" w:right="0"/>
              <w:rPr>
                <w:rFonts w:hint="default"/>
                <w:szCs w:val="21"/>
              </w:rPr>
            </w:pPr>
            <w:r>
              <w:rPr>
                <w:rFonts w:hint="eastAsia" w:ascii="Times New Roman"/>
                <w:sz w:val="21"/>
                <w:szCs w:val="21"/>
              </w:rPr>
              <w:t>不</w:t>
            </w:r>
            <w:r>
              <w:rPr>
                <w:rFonts w:hint="default" w:ascii="Times New Roman"/>
                <w:sz w:val="21"/>
                <w:szCs w:val="21"/>
              </w:rPr>
              <w:t>召开</w:t>
            </w:r>
            <w:r>
              <w:rPr>
                <w:rFonts w:hint="eastAsia" w:ascii="Times New Roman"/>
                <w:sz w:val="21"/>
                <w:szCs w:val="21"/>
              </w:rPr>
              <w:t>。</w:t>
            </w:r>
          </w:p>
        </w:tc>
      </w:tr>
      <w:tr w14:paraId="6A6650B4">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A0AB49A">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default"/>
                <w:szCs w:val="21"/>
                <w:woUserID w:val="2"/>
              </w:rPr>
              <w:t>7</w:t>
            </w:r>
            <w:r>
              <w:rPr>
                <w:rFonts w:hint="default"/>
                <w:szCs w:val="21"/>
              </w:rPr>
              <w:t>.2</w:t>
            </w:r>
          </w:p>
        </w:tc>
        <w:tc>
          <w:tcPr>
            <w:tcW w:w="1275" w:type="pct"/>
            <w:tcBorders>
              <w:top w:val="single" w:color="auto" w:sz="4" w:space="0"/>
              <w:left w:val="single" w:color="auto" w:sz="4" w:space="0"/>
              <w:bottom w:val="single" w:color="auto" w:sz="4" w:space="0"/>
              <w:right w:val="single" w:color="auto" w:sz="4" w:space="0"/>
            </w:tcBorders>
            <w:vAlign w:val="center"/>
          </w:tcPr>
          <w:p w14:paraId="1DCCDED7">
            <w:pPr>
              <w:keepNext w:val="0"/>
              <w:keepLines w:val="0"/>
              <w:suppressLineNumbers w:val="0"/>
              <w:spacing w:before="0" w:beforeAutospacing="0" w:after="0" w:afterAutospacing="0"/>
              <w:ind w:left="0" w:right="0"/>
              <w:jc w:val="left"/>
              <w:rPr>
                <w:rFonts w:hint="default"/>
                <w:szCs w:val="21"/>
              </w:rPr>
            </w:pPr>
            <w:r>
              <w:rPr>
                <w:rFonts w:hint="default"/>
                <w:szCs w:val="21"/>
              </w:rPr>
              <w:t>投标人提出问题的截止时间</w:t>
            </w:r>
          </w:p>
        </w:tc>
        <w:tc>
          <w:tcPr>
            <w:tcW w:w="3265" w:type="pct"/>
            <w:tcBorders>
              <w:top w:val="single" w:color="auto" w:sz="4" w:space="0"/>
              <w:left w:val="single" w:color="auto" w:sz="4" w:space="0"/>
              <w:bottom w:val="single" w:color="auto" w:sz="4" w:space="0"/>
              <w:right w:val="single" w:color="auto" w:sz="4" w:space="0"/>
            </w:tcBorders>
            <w:vAlign w:val="center"/>
          </w:tcPr>
          <w:p w14:paraId="0C747322">
            <w:pPr>
              <w:keepNext w:val="0"/>
              <w:keepLines w:val="0"/>
              <w:suppressLineNumbers w:val="0"/>
              <w:spacing w:before="0" w:beforeAutospacing="0" w:after="0" w:afterAutospacing="0"/>
              <w:ind w:left="0" w:right="0"/>
              <w:jc w:val="left"/>
              <w:rPr>
                <w:rFonts w:hint="default"/>
                <w:szCs w:val="21"/>
              </w:rPr>
            </w:pPr>
            <w:r>
              <w:rPr>
                <w:rFonts w:hint="eastAsia"/>
                <w:szCs w:val="21"/>
              </w:rPr>
              <w:t>投标人若对招标文件有任何疑问，应于202</w:t>
            </w:r>
            <w:r>
              <w:rPr>
                <w:rFonts w:hint="eastAsia"/>
                <w:szCs w:val="21"/>
                <w:lang w:val="en-US" w:eastAsia="zh-CN"/>
              </w:rPr>
              <w:t>5</w:t>
            </w:r>
            <w:r>
              <w:rPr>
                <w:rFonts w:hint="default"/>
                <w:szCs w:val="21"/>
              </w:rPr>
              <w:t>年</w:t>
            </w:r>
            <w:r>
              <w:rPr>
                <w:rFonts w:hint="eastAsia"/>
                <w:szCs w:val="21"/>
                <w:lang w:val="en-US" w:eastAsia="zh-CN"/>
              </w:rPr>
              <w:t>2</w:t>
            </w:r>
            <w:r>
              <w:rPr>
                <w:rFonts w:hint="default"/>
                <w:szCs w:val="21"/>
              </w:rPr>
              <w:t>月</w:t>
            </w:r>
            <w:r>
              <w:rPr>
                <w:rFonts w:hint="eastAsia"/>
                <w:szCs w:val="21"/>
                <w:lang w:val="en-US" w:eastAsia="zh-CN"/>
              </w:rPr>
              <w:t xml:space="preserve"> 25 </w:t>
            </w:r>
            <w:r>
              <w:rPr>
                <w:rFonts w:hint="default"/>
                <w:szCs w:val="21"/>
              </w:rPr>
              <w:t>日1</w:t>
            </w:r>
            <w:r>
              <w:rPr>
                <w:rFonts w:hint="eastAsia"/>
                <w:szCs w:val="21"/>
              </w:rPr>
              <w:t>2</w:t>
            </w:r>
            <w:r>
              <w:rPr>
                <w:rFonts w:hint="default"/>
                <w:szCs w:val="21"/>
              </w:rPr>
              <w:t>时00</w:t>
            </w:r>
            <w:r>
              <w:rPr>
                <w:rFonts w:hint="eastAsia"/>
                <w:szCs w:val="21"/>
              </w:rPr>
              <w:t>分</w:t>
            </w:r>
            <w:r>
              <w:rPr>
                <w:rFonts w:hint="default"/>
                <w:szCs w:val="21"/>
              </w:rPr>
              <w:t>前，</w:t>
            </w:r>
            <w:r>
              <w:rPr>
                <w:rFonts w:hint="eastAsia"/>
                <w:szCs w:val="21"/>
              </w:rPr>
              <w:t>发送电子邮件至751317815@qq</w:t>
            </w:r>
            <w:r>
              <w:rPr>
                <w:rFonts w:hint="default"/>
                <w:szCs w:val="21"/>
              </w:rPr>
              <w:t>.com，并电话通知招标代理机构</w:t>
            </w:r>
          </w:p>
          <w:p w14:paraId="1F8330A0">
            <w:pPr>
              <w:keepNext w:val="0"/>
              <w:keepLines w:val="0"/>
              <w:suppressLineNumbers w:val="0"/>
              <w:spacing w:before="0" w:beforeAutospacing="0" w:after="0" w:afterAutospacing="0"/>
              <w:ind w:left="0" w:right="0"/>
              <w:jc w:val="left"/>
              <w:rPr>
                <w:rFonts w:hint="default"/>
                <w:szCs w:val="21"/>
              </w:rPr>
            </w:pPr>
            <w:r>
              <w:rPr>
                <w:rFonts w:hint="eastAsia"/>
                <w:szCs w:val="21"/>
              </w:rPr>
              <w:t>查收。未按照时间和要求提出的问题将不予答复</w:t>
            </w:r>
            <w:r>
              <w:rPr>
                <w:rFonts w:hint="default"/>
                <w:szCs w:val="21"/>
              </w:rPr>
              <w:t>。</w:t>
            </w:r>
          </w:p>
        </w:tc>
      </w:tr>
      <w:tr w14:paraId="2A49A559">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D754C61">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default"/>
                <w:szCs w:val="21"/>
                <w:woUserID w:val="2"/>
              </w:rPr>
              <w:t>7</w:t>
            </w:r>
            <w:r>
              <w:rPr>
                <w:rFonts w:hint="default"/>
                <w:szCs w:val="21"/>
              </w:rPr>
              <w:t>.3</w:t>
            </w:r>
          </w:p>
        </w:tc>
        <w:tc>
          <w:tcPr>
            <w:tcW w:w="1275" w:type="pct"/>
            <w:tcBorders>
              <w:top w:val="single" w:color="auto" w:sz="4" w:space="0"/>
              <w:left w:val="single" w:color="auto" w:sz="4" w:space="0"/>
              <w:bottom w:val="single" w:color="auto" w:sz="4" w:space="0"/>
              <w:right w:val="single" w:color="auto" w:sz="4" w:space="0"/>
            </w:tcBorders>
            <w:vAlign w:val="center"/>
          </w:tcPr>
          <w:p w14:paraId="440EBFAF">
            <w:pPr>
              <w:keepNext w:val="0"/>
              <w:keepLines w:val="0"/>
              <w:suppressLineNumbers w:val="0"/>
              <w:spacing w:before="0" w:beforeAutospacing="0" w:after="0" w:afterAutospacing="0"/>
              <w:ind w:left="0" w:right="0"/>
              <w:jc w:val="left"/>
              <w:rPr>
                <w:rFonts w:hint="default"/>
                <w:szCs w:val="21"/>
              </w:rPr>
            </w:pPr>
            <w:r>
              <w:rPr>
                <w:rFonts w:hint="default"/>
                <w:szCs w:val="21"/>
              </w:rPr>
              <w:t>招标人澄清的时间</w:t>
            </w:r>
          </w:p>
        </w:tc>
        <w:tc>
          <w:tcPr>
            <w:tcW w:w="3265" w:type="pct"/>
            <w:tcBorders>
              <w:top w:val="single" w:color="auto" w:sz="4" w:space="0"/>
              <w:left w:val="single" w:color="auto" w:sz="4" w:space="0"/>
              <w:bottom w:val="single" w:color="auto" w:sz="4" w:space="0"/>
              <w:right w:val="single" w:color="auto" w:sz="4" w:space="0"/>
            </w:tcBorders>
            <w:vAlign w:val="center"/>
          </w:tcPr>
          <w:p w14:paraId="70267946">
            <w:pPr>
              <w:keepNext w:val="0"/>
              <w:keepLines w:val="0"/>
              <w:suppressLineNumbers w:val="0"/>
              <w:spacing w:before="0" w:beforeAutospacing="0" w:after="0" w:afterAutospacing="0"/>
              <w:ind w:left="0" w:right="0"/>
              <w:jc w:val="left"/>
              <w:rPr>
                <w:rFonts w:hint="default"/>
                <w:szCs w:val="21"/>
              </w:rPr>
            </w:pPr>
            <w:r>
              <w:rPr>
                <w:rFonts w:hint="eastAsia"/>
                <w:szCs w:val="21"/>
              </w:rPr>
              <w:t>202</w:t>
            </w:r>
            <w:r>
              <w:rPr>
                <w:rFonts w:hint="eastAsia"/>
                <w:szCs w:val="21"/>
                <w:lang w:val="en-US" w:eastAsia="zh-CN"/>
              </w:rPr>
              <w:t>5</w:t>
            </w:r>
            <w:r>
              <w:rPr>
                <w:rFonts w:hint="default"/>
                <w:szCs w:val="21"/>
              </w:rPr>
              <w:t>年</w:t>
            </w:r>
            <w:r>
              <w:rPr>
                <w:rFonts w:hint="eastAsia"/>
                <w:szCs w:val="21"/>
                <w:lang w:val="en-US" w:eastAsia="zh-CN"/>
              </w:rPr>
              <w:t>2</w:t>
            </w:r>
            <w:r>
              <w:rPr>
                <w:rFonts w:hint="default"/>
                <w:szCs w:val="21"/>
              </w:rPr>
              <w:t>月</w:t>
            </w:r>
            <w:r>
              <w:rPr>
                <w:rFonts w:hint="eastAsia"/>
                <w:szCs w:val="21"/>
                <w:lang w:val="en-US" w:eastAsia="zh-CN"/>
              </w:rPr>
              <w:t xml:space="preserve">25  </w:t>
            </w:r>
            <w:r>
              <w:rPr>
                <w:rFonts w:hint="default"/>
                <w:szCs w:val="21"/>
              </w:rPr>
              <w:t>日</w:t>
            </w:r>
            <w:r>
              <w:rPr>
                <w:rFonts w:hint="eastAsia"/>
                <w:szCs w:val="21"/>
              </w:rPr>
              <w:t>17</w:t>
            </w:r>
            <w:r>
              <w:rPr>
                <w:rFonts w:hint="default"/>
                <w:szCs w:val="21"/>
              </w:rPr>
              <w:t>时</w:t>
            </w:r>
            <w:r>
              <w:rPr>
                <w:rFonts w:hint="eastAsia"/>
                <w:szCs w:val="21"/>
              </w:rPr>
              <w:t>00</w:t>
            </w:r>
            <w:r>
              <w:rPr>
                <w:rFonts w:hint="default"/>
                <w:szCs w:val="21"/>
              </w:rPr>
              <w:t>分前</w:t>
            </w:r>
          </w:p>
          <w:p w14:paraId="7921D38F">
            <w:pPr>
              <w:keepNext w:val="0"/>
              <w:keepLines w:val="0"/>
              <w:suppressLineNumbers w:val="0"/>
              <w:spacing w:before="0" w:beforeAutospacing="0" w:after="0" w:afterAutospacing="0"/>
              <w:ind w:left="0" w:right="0"/>
              <w:jc w:val="left"/>
              <w:rPr>
                <w:rFonts w:hint="default"/>
              </w:rPr>
            </w:pPr>
            <w:r>
              <w:rPr>
                <w:rFonts w:hint="eastAsia"/>
                <w:szCs w:val="21"/>
              </w:rPr>
              <w:t>招标人或招标代理机构根据实际情况或依据投标单位提出的问题而对招标文件进行答疑、澄清或修改的，将通过盐城市联鑫钢铁有限公司网站发布，一经发布视为已发放给所有投标人，各投标人应随时关注项目信息，及时关注盐城市联鑫钢铁有限公司网站相关文件，否则所造成的一切后果由投标人自负。招标文件的澄清、修改构成招标文件的一部分，对投标单位有约束力。</w:t>
            </w:r>
          </w:p>
        </w:tc>
      </w:tr>
      <w:tr w14:paraId="5D1A862A">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749AE40">
            <w:pPr>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woUserID w:val="2"/>
              </w:rPr>
              <w:t>8</w:t>
            </w:r>
            <w:r>
              <w:rPr>
                <w:rFonts w:hint="eastAsia"/>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6E5D286F">
            <w:pPr>
              <w:keepNext w:val="0"/>
              <w:keepLines w:val="0"/>
              <w:suppressLineNumbers w:val="0"/>
              <w:spacing w:before="0" w:beforeAutospacing="0" w:after="0" w:afterAutospacing="0"/>
              <w:ind w:left="0" w:right="0"/>
              <w:jc w:val="left"/>
              <w:rPr>
                <w:rFonts w:hint="default"/>
                <w:szCs w:val="21"/>
              </w:rPr>
            </w:pPr>
            <w:r>
              <w:rPr>
                <w:rFonts w:hint="eastAsia"/>
                <w:szCs w:val="21"/>
              </w:rPr>
              <w:t>招标人规定由分包人承担的工作</w:t>
            </w:r>
          </w:p>
        </w:tc>
        <w:tc>
          <w:tcPr>
            <w:tcW w:w="3265" w:type="pct"/>
            <w:tcBorders>
              <w:top w:val="single" w:color="auto" w:sz="4" w:space="0"/>
              <w:left w:val="single" w:color="auto" w:sz="4" w:space="0"/>
              <w:bottom w:val="single" w:color="auto" w:sz="4" w:space="0"/>
              <w:right w:val="single" w:color="auto" w:sz="4" w:space="0"/>
            </w:tcBorders>
            <w:vAlign w:val="center"/>
          </w:tcPr>
          <w:p w14:paraId="1730C573">
            <w:pPr>
              <w:keepNext w:val="0"/>
              <w:keepLines w:val="0"/>
              <w:suppressLineNumbers w:val="0"/>
              <w:spacing w:before="0" w:beforeAutospacing="0" w:after="0" w:afterAutospacing="0"/>
              <w:ind w:left="0" w:right="0"/>
              <w:jc w:val="left"/>
              <w:rPr>
                <w:rFonts w:hint="default"/>
                <w:szCs w:val="21"/>
              </w:rPr>
            </w:pPr>
            <w:r>
              <w:rPr>
                <w:rFonts w:hint="eastAsia"/>
                <w:szCs w:val="21"/>
              </w:rPr>
              <w:t>/</w:t>
            </w:r>
          </w:p>
        </w:tc>
      </w:tr>
      <w:tr w14:paraId="78DF0733">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45513F5">
            <w:pPr>
              <w:keepNext w:val="0"/>
              <w:keepLines w:val="0"/>
              <w:suppressLineNumbers w:val="0"/>
              <w:spacing w:before="0" w:beforeAutospacing="0" w:after="0" w:afterAutospacing="0"/>
              <w:ind w:left="0" w:right="0"/>
              <w:jc w:val="center"/>
              <w:rPr>
                <w:rFonts w:hint="default"/>
                <w:szCs w:val="21"/>
              </w:rPr>
            </w:pPr>
            <w:r>
              <w:rPr>
                <w:rFonts w:hint="default"/>
                <w:szCs w:val="21"/>
              </w:rPr>
              <w:t>1.</w:t>
            </w:r>
            <w:r>
              <w:rPr>
                <w:rFonts w:hint="default"/>
                <w:szCs w:val="21"/>
                <w:woUserID w:val="2"/>
              </w:rPr>
              <w:t>8</w:t>
            </w:r>
            <w:r>
              <w:rPr>
                <w:rFonts w:hint="eastAsia"/>
                <w:szCs w:val="21"/>
              </w:rPr>
              <w:t>.2</w:t>
            </w:r>
          </w:p>
        </w:tc>
        <w:tc>
          <w:tcPr>
            <w:tcW w:w="1275" w:type="pct"/>
            <w:tcBorders>
              <w:top w:val="single" w:color="auto" w:sz="4" w:space="0"/>
              <w:left w:val="single" w:color="auto" w:sz="4" w:space="0"/>
              <w:bottom w:val="single" w:color="auto" w:sz="4" w:space="0"/>
              <w:right w:val="single" w:color="auto" w:sz="4" w:space="0"/>
            </w:tcBorders>
            <w:vAlign w:val="center"/>
          </w:tcPr>
          <w:p w14:paraId="0073C550">
            <w:pPr>
              <w:keepNext w:val="0"/>
              <w:keepLines w:val="0"/>
              <w:suppressLineNumbers w:val="0"/>
              <w:spacing w:before="0" w:beforeAutospacing="0" w:after="0" w:afterAutospacing="0"/>
              <w:ind w:left="0" w:right="0"/>
              <w:jc w:val="left"/>
              <w:rPr>
                <w:rFonts w:hint="default"/>
                <w:szCs w:val="21"/>
              </w:rPr>
            </w:pPr>
            <w:r>
              <w:rPr>
                <w:rFonts w:hint="eastAsia"/>
                <w:szCs w:val="21"/>
              </w:rPr>
              <w:t>投标人拟</w:t>
            </w:r>
            <w:r>
              <w:rPr>
                <w:rFonts w:hint="default"/>
                <w:szCs w:val="21"/>
              </w:rPr>
              <w:t>分包</w:t>
            </w:r>
            <w:r>
              <w:rPr>
                <w:rFonts w:hint="eastAsia"/>
                <w:szCs w:val="21"/>
              </w:rPr>
              <w:t>的工作</w:t>
            </w:r>
          </w:p>
        </w:tc>
        <w:tc>
          <w:tcPr>
            <w:tcW w:w="3265" w:type="pct"/>
            <w:tcBorders>
              <w:top w:val="single" w:color="auto" w:sz="4" w:space="0"/>
              <w:left w:val="single" w:color="auto" w:sz="4" w:space="0"/>
              <w:bottom w:val="single" w:color="auto" w:sz="4" w:space="0"/>
              <w:right w:val="single" w:color="auto" w:sz="4" w:space="0"/>
            </w:tcBorders>
            <w:vAlign w:val="center"/>
          </w:tcPr>
          <w:p w14:paraId="4786C5C7">
            <w:pPr>
              <w:pStyle w:val="97"/>
              <w:keepNext w:val="0"/>
              <w:keepLines w:val="0"/>
              <w:suppressLineNumbers w:val="0"/>
              <w:spacing w:before="0" w:beforeAutospacing="0" w:after="0" w:afterAutospacing="0"/>
              <w:ind w:left="0" w:right="0"/>
              <w:jc w:val="both"/>
              <w:rPr>
                <w:rFonts w:hint="default"/>
                <w:szCs w:val="21"/>
              </w:rPr>
            </w:pPr>
            <w:r>
              <w:rPr>
                <w:rFonts w:hint="eastAsia"/>
                <w:kern w:val="0"/>
                <w:szCs w:val="21"/>
              </w:rPr>
              <w:t>允许</w:t>
            </w:r>
          </w:p>
        </w:tc>
      </w:tr>
      <w:tr w14:paraId="6CB5C57E">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6EB3E14D">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06C0C32F">
            <w:pPr>
              <w:keepNext w:val="0"/>
              <w:keepLines w:val="0"/>
              <w:suppressLineNumbers w:val="0"/>
              <w:spacing w:before="0" w:beforeAutospacing="0" w:after="0" w:afterAutospacing="0"/>
              <w:ind w:left="0" w:right="0"/>
              <w:jc w:val="left"/>
              <w:rPr>
                <w:rFonts w:hint="default"/>
                <w:szCs w:val="21"/>
              </w:rPr>
            </w:pPr>
            <w:r>
              <w:rPr>
                <w:rFonts w:hint="eastAsia"/>
                <w:szCs w:val="21"/>
              </w:rPr>
              <w:t>偏离</w:t>
            </w:r>
          </w:p>
        </w:tc>
        <w:tc>
          <w:tcPr>
            <w:tcW w:w="3265" w:type="pct"/>
            <w:tcBorders>
              <w:top w:val="single" w:color="auto" w:sz="4" w:space="0"/>
              <w:left w:val="single" w:color="auto" w:sz="4" w:space="0"/>
              <w:bottom w:val="single" w:color="auto" w:sz="4" w:space="0"/>
              <w:right w:val="single" w:color="auto" w:sz="4" w:space="0"/>
            </w:tcBorders>
            <w:vAlign w:val="center"/>
          </w:tcPr>
          <w:p w14:paraId="4C3E2D36">
            <w:pPr>
              <w:pStyle w:val="17"/>
              <w:keepNext w:val="0"/>
              <w:keepLines w:val="0"/>
              <w:suppressLineNumbers w:val="0"/>
              <w:topLinePunct/>
              <w:spacing w:before="0" w:beforeAutospacing="0" w:after="0" w:afterAutospacing="0"/>
              <w:ind w:left="0" w:right="0"/>
              <w:jc w:val="left"/>
              <w:rPr>
                <w:rFonts w:hint="default" w:ascii="Times New Roman"/>
                <w:sz w:val="21"/>
                <w:szCs w:val="21"/>
              </w:rPr>
            </w:pPr>
            <w:r>
              <w:rPr>
                <w:rFonts w:hint="eastAsia" w:ascii="等线" w:hAnsi="等线" w:cs="宋体"/>
                <w:sz w:val="21"/>
                <w:szCs w:val="21"/>
              </w:rPr>
              <w:t>主体和关键性工作不允许负偏离</w:t>
            </w:r>
            <w:r>
              <w:rPr>
                <w:rFonts w:hint="default" w:ascii="等线" w:hAnsi="等线" w:cs="宋体"/>
                <w:sz w:val="21"/>
                <w:szCs w:val="21"/>
              </w:rPr>
              <w:t>。</w:t>
            </w:r>
          </w:p>
        </w:tc>
      </w:tr>
      <w:tr w14:paraId="08CD9573">
        <w:tblPrEx>
          <w:tblCellMar>
            <w:top w:w="0" w:type="dxa"/>
            <w:left w:w="108" w:type="dxa"/>
            <w:bottom w:w="0" w:type="dxa"/>
            <w:right w:w="108" w:type="dxa"/>
          </w:tblCellMar>
        </w:tblPrEx>
        <w:trPr>
          <w:trHeight w:val="90"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4F489A39">
            <w:pPr>
              <w:keepNext w:val="0"/>
              <w:keepLines w:val="0"/>
              <w:suppressLineNumbers w:val="0"/>
              <w:spacing w:before="0" w:beforeAutospacing="0" w:after="0" w:afterAutospacing="0"/>
              <w:ind w:left="0" w:right="0"/>
              <w:jc w:val="center"/>
              <w:rPr>
                <w:rFonts w:hint="default"/>
                <w:szCs w:val="21"/>
              </w:rPr>
            </w:pPr>
            <w:r>
              <w:rPr>
                <w:rFonts w:hint="default"/>
                <w:szCs w:val="21"/>
              </w:rPr>
              <w:t>2.1</w:t>
            </w:r>
          </w:p>
        </w:tc>
        <w:tc>
          <w:tcPr>
            <w:tcW w:w="1275" w:type="pct"/>
            <w:tcBorders>
              <w:top w:val="single" w:color="auto" w:sz="4" w:space="0"/>
              <w:left w:val="single" w:color="auto" w:sz="4" w:space="0"/>
              <w:bottom w:val="single" w:color="auto" w:sz="4" w:space="0"/>
              <w:right w:val="single" w:color="auto" w:sz="4" w:space="0"/>
            </w:tcBorders>
            <w:vAlign w:val="center"/>
          </w:tcPr>
          <w:p w14:paraId="23A2A888">
            <w:pPr>
              <w:keepNext w:val="0"/>
              <w:keepLines w:val="0"/>
              <w:suppressLineNumbers w:val="0"/>
              <w:spacing w:before="0" w:beforeAutospacing="0" w:after="0" w:afterAutospacing="0"/>
              <w:ind w:left="0" w:right="0"/>
              <w:jc w:val="left"/>
              <w:rPr>
                <w:rFonts w:hint="default"/>
                <w:szCs w:val="21"/>
              </w:rPr>
            </w:pPr>
            <w:r>
              <w:rPr>
                <w:rFonts w:hint="default"/>
                <w:szCs w:val="21"/>
              </w:rPr>
              <w:t>构成招标文件的其他</w:t>
            </w:r>
            <w:r>
              <w:rPr>
                <w:rFonts w:hint="eastAsia"/>
                <w:szCs w:val="21"/>
              </w:rPr>
              <w:t>资</w:t>
            </w:r>
            <w:r>
              <w:rPr>
                <w:rFonts w:hint="default"/>
                <w:szCs w:val="21"/>
              </w:rPr>
              <w:t>料</w:t>
            </w:r>
          </w:p>
        </w:tc>
        <w:tc>
          <w:tcPr>
            <w:tcW w:w="3265" w:type="pct"/>
            <w:tcBorders>
              <w:top w:val="single" w:color="auto" w:sz="4" w:space="0"/>
              <w:left w:val="single" w:color="auto" w:sz="4" w:space="0"/>
              <w:bottom w:val="single" w:color="auto" w:sz="4" w:space="0"/>
              <w:right w:val="single" w:color="auto" w:sz="4" w:space="0"/>
            </w:tcBorders>
            <w:vAlign w:val="center"/>
          </w:tcPr>
          <w:p w14:paraId="50C0CE79">
            <w:pPr>
              <w:keepNext w:val="0"/>
              <w:keepLines w:val="0"/>
              <w:suppressLineNumbers w:val="0"/>
              <w:spacing w:before="0" w:beforeAutospacing="0" w:after="0" w:afterAutospacing="0"/>
              <w:ind w:left="0" w:right="0"/>
              <w:jc w:val="left"/>
              <w:rPr>
                <w:rFonts w:hint="default"/>
                <w:szCs w:val="21"/>
              </w:rPr>
            </w:pPr>
            <w:r>
              <w:rPr>
                <w:rFonts w:hint="eastAsia"/>
                <w:szCs w:val="21"/>
              </w:rPr>
              <w:t>招标人发出的答疑、澄清等</w:t>
            </w:r>
          </w:p>
        </w:tc>
      </w:tr>
      <w:tr w14:paraId="6E0BE0B7">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4037ED0">
            <w:pPr>
              <w:keepNext w:val="0"/>
              <w:keepLines w:val="0"/>
              <w:suppressLineNumbers w:val="0"/>
              <w:spacing w:before="0" w:beforeAutospacing="0" w:after="0" w:afterAutospacing="0"/>
              <w:ind w:left="0" w:right="0"/>
              <w:jc w:val="center"/>
              <w:rPr>
                <w:rFonts w:hint="default"/>
                <w:szCs w:val="21"/>
              </w:rPr>
            </w:pPr>
            <w:r>
              <w:rPr>
                <w:rFonts w:hint="default"/>
                <w:szCs w:val="21"/>
              </w:rPr>
              <w:t>2.2.1</w:t>
            </w:r>
          </w:p>
        </w:tc>
        <w:tc>
          <w:tcPr>
            <w:tcW w:w="1275" w:type="pct"/>
            <w:tcBorders>
              <w:top w:val="single" w:color="auto" w:sz="4" w:space="0"/>
              <w:left w:val="single" w:color="auto" w:sz="4" w:space="0"/>
              <w:bottom w:val="single" w:color="auto" w:sz="4" w:space="0"/>
              <w:right w:val="single" w:color="auto" w:sz="4" w:space="0"/>
            </w:tcBorders>
            <w:vAlign w:val="center"/>
          </w:tcPr>
          <w:p w14:paraId="0B6F6272">
            <w:pPr>
              <w:keepNext w:val="0"/>
              <w:keepLines w:val="0"/>
              <w:suppressLineNumbers w:val="0"/>
              <w:spacing w:before="0" w:beforeAutospacing="0" w:after="0" w:afterAutospacing="0"/>
              <w:ind w:left="0" w:right="0"/>
              <w:jc w:val="left"/>
              <w:rPr>
                <w:rFonts w:hint="default"/>
                <w:szCs w:val="21"/>
              </w:rPr>
            </w:pPr>
            <w:r>
              <w:rPr>
                <w:rFonts w:hint="default"/>
                <w:szCs w:val="21"/>
              </w:rPr>
              <w:t>投标人要求澄清招标文件的截止时间</w:t>
            </w:r>
          </w:p>
        </w:tc>
        <w:tc>
          <w:tcPr>
            <w:tcW w:w="3265" w:type="pct"/>
            <w:tcBorders>
              <w:top w:val="single" w:color="auto" w:sz="4" w:space="0"/>
              <w:left w:val="single" w:color="auto" w:sz="4" w:space="0"/>
              <w:bottom w:val="single" w:color="auto" w:sz="4" w:space="0"/>
              <w:right w:val="single" w:color="auto" w:sz="4" w:space="0"/>
            </w:tcBorders>
            <w:vAlign w:val="center"/>
          </w:tcPr>
          <w:p w14:paraId="28F148EE">
            <w:pPr>
              <w:keepNext w:val="0"/>
              <w:keepLines w:val="0"/>
              <w:suppressLineNumbers w:val="0"/>
              <w:spacing w:before="0" w:beforeAutospacing="0" w:after="0" w:afterAutospacing="0"/>
              <w:ind w:left="0" w:right="0"/>
              <w:jc w:val="left"/>
              <w:rPr>
                <w:rFonts w:hint="default"/>
                <w:szCs w:val="21"/>
              </w:rPr>
            </w:pPr>
            <w:r>
              <w:rPr>
                <w:rFonts w:hint="eastAsia"/>
                <w:szCs w:val="21"/>
              </w:rPr>
              <w:t>202</w:t>
            </w:r>
            <w:r>
              <w:rPr>
                <w:rFonts w:hint="eastAsia"/>
                <w:szCs w:val="21"/>
                <w:lang w:val="en-US" w:eastAsia="zh-CN"/>
              </w:rPr>
              <w:t>5</w:t>
            </w:r>
            <w:r>
              <w:rPr>
                <w:rFonts w:hint="default"/>
                <w:szCs w:val="21"/>
              </w:rPr>
              <w:t>年</w:t>
            </w:r>
            <w:r>
              <w:rPr>
                <w:rFonts w:hint="eastAsia"/>
                <w:szCs w:val="21"/>
                <w:lang w:val="en-US" w:eastAsia="zh-CN"/>
              </w:rPr>
              <w:t>2</w:t>
            </w:r>
            <w:r>
              <w:rPr>
                <w:rFonts w:hint="default"/>
                <w:szCs w:val="21"/>
              </w:rPr>
              <w:t>月</w:t>
            </w:r>
            <w:r>
              <w:rPr>
                <w:rFonts w:hint="eastAsia"/>
                <w:szCs w:val="21"/>
                <w:lang w:val="en-US" w:eastAsia="zh-CN"/>
              </w:rPr>
              <w:t xml:space="preserve"> 25 </w:t>
            </w:r>
            <w:r>
              <w:rPr>
                <w:rFonts w:hint="default"/>
                <w:szCs w:val="21"/>
              </w:rPr>
              <w:t>日</w:t>
            </w:r>
            <w:r>
              <w:rPr>
                <w:rFonts w:hint="eastAsia"/>
                <w:szCs w:val="21"/>
              </w:rPr>
              <w:t>17</w:t>
            </w:r>
            <w:r>
              <w:rPr>
                <w:rFonts w:hint="default"/>
                <w:szCs w:val="21"/>
              </w:rPr>
              <w:t>时</w:t>
            </w:r>
            <w:r>
              <w:rPr>
                <w:rFonts w:hint="eastAsia"/>
                <w:szCs w:val="21"/>
              </w:rPr>
              <w:t>00</w:t>
            </w:r>
            <w:r>
              <w:rPr>
                <w:rFonts w:hint="default"/>
                <w:szCs w:val="21"/>
              </w:rPr>
              <w:t>分前</w:t>
            </w:r>
          </w:p>
        </w:tc>
      </w:tr>
      <w:tr w14:paraId="5E82B723">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1675C3A">
            <w:pPr>
              <w:keepNext w:val="0"/>
              <w:keepLines w:val="0"/>
              <w:suppressLineNumbers w:val="0"/>
              <w:spacing w:before="0" w:beforeAutospacing="0" w:after="0" w:afterAutospacing="0"/>
              <w:ind w:left="0" w:right="0"/>
              <w:jc w:val="center"/>
              <w:rPr>
                <w:rFonts w:hint="default"/>
                <w:szCs w:val="21"/>
              </w:rPr>
            </w:pPr>
            <w:r>
              <w:rPr>
                <w:rFonts w:hint="default"/>
                <w:szCs w:val="21"/>
              </w:rPr>
              <w:t>2.2.2</w:t>
            </w:r>
          </w:p>
        </w:tc>
        <w:tc>
          <w:tcPr>
            <w:tcW w:w="1275" w:type="pct"/>
            <w:tcBorders>
              <w:top w:val="single" w:color="auto" w:sz="4" w:space="0"/>
              <w:left w:val="single" w:color="auto" w:sz="4" w:space="0"/>
              <w:bottom w:val="single" w:color="auto" w:sz="4" w:space="0"/>
              <w:right w:val="single" w:color="auto" w:sz="4" w:space="0"/>
            </w:tcBorders>
            <w:vAlign w:val="center"/>
          </w:tcPr>
          <w:p w14:paraId="52736230">
            <w:pPr>
              <w:keepNext w:val="0"/>
              <w:keepLines w:val="0"/>
              <w:suppressLineNumbers w:val="0"/>
              <w:spacing w:before="0" w:beforeAutospacing="0" w:after="0" w:afterAutospacing="0"/>
              <w:ind w:left="0" w:right="0"/>
              <w:jc w:val="left"/>
              <w:rPr>
                <w:rFonts w:hint="default"/>
                <w:szCs w:val="21"/>
              </w:rPr>
            </w:pPr>
            <w:r>
              <w:rPr>
                <w:rFonts w:hint="default"/>
                <w:szCs w:val="21"/>
              </w:rPr>
              <w:t>投标截止时间</w:t>
            </w:r>
          </w:p>
        </w:tc>
        <w:tc>
          <w:tcPr>
            <w:tcW w:w="3265" w:type="pct"/>
            <w:tcBorders>
              <w:top w:val="single" w:color="auto" w:sz="4" w:space="0"/>
              <w:left w:val="single" w:color="auto" w:sz="4" w:space="0"/>
              <w:bottom w:val="single" w:color="auto" w:sz="4" w:space="0"/>
              <w:right w:val="single" w:color="auto" w:sz="4" w:space="0"/>
            </w:tcBorders>
            <w:vAlign w:val="center"/>
          </w:tcPr>
          <w:p w14:paraId="20A3FCE8">
            <w:pPr>
              <w:keepNext w:val="0"/>
              <w:keepLines w:val="0"/>
              <w:suppressLineNumbers w:val="0"/>
              <w:spacing w:before="0" w:beforeAutospacing="0" w:after="0" w:afterAutospacing="0"/>
              <w:ind w:left="0" w:right="0"/>
              <w:jc w:val="left"/>
              <w:rPr>
                <w:rFonts w:hint="default"/>
                <w:szCs w:val="21"/>
              </w:rPr>
            </w:pPr>
            <w:r>
              <w:rPr>
                <w:rFonts w:hint="eastAsia"/>
                <w:szCs w:val="21"/>
              </w:rPr>
              <w:t>202</w:t>
            </w:r>
            <w:r>
              <w:rPr>
                <w:rFonts w:hint="eastAsia"/>
                <w:szCs w:val="21"/>
                <w:lang w:val="en-US" w:eastAsia="zh-CN"/>
              </w:rPr>
              <w:t>5</w:t>
            </w:r>
            <w:r>
              <w:rPr>
                <w:rFonts w:hint="default"/>
                <w:szCs w:val="21"/>
              </w:rPr>
              <w:t>年</w:t>
            </w:r>
            <w:r>
              <w:rPr>
                <w:rFonts w:hint="eastAsia"/>
                <w:szCs w:val="21"/>
                <w:lang w:val="en-US" w:eastAsia="zh-CN"/>
              </w:rPr>
              <w:t>2</w:t>
            </w:r>
            <w:r>
              <w:rPr>
                <w:rFonts w:hint="default"/>
                <w:szCs w:val="21"/>
              </w:rPr>
              <w:t>月</w:t>
            </w:r>
            <w:r>
              <w:rPr>
                <w:rFonts w:hint="eastAsia"/>
                <w:szCs w:val="21"/>
                <w:lang w:val="en-US" w:eastAsia="zh-CN"/>
              </w:rPr>
              <w:t xml:space="preserve"> 27 </w:t>
            </w:r>
            <w:r>
              <w:rPr>
                <w:rFonts w:hint="default"/>
                <w:szCs w:val="21"/>
              </w:rPr>
              <w:t>日</w:t>
            </w:r>
            <w:r>
              <w:rPr>
                <w:rFonts w:hint="eastAsia"/>
                <w:szCs w:val="21"/>
              </w:rPr>
              <w:t>15</w:t>
            </w:r>
            <w:r>
              <w:rPr>
                <w:rFonts w:hint="default"/>
                <w:szCs w:val="21"/>
              </w:rPr>
              <w:t>时</w:t>
            </w:r>
            <w:r>
              <w:rPr>
                <w:rFonts w:hint="eastAsia"/>
                <w:szCs w:val="21"/>
              </w:rPr>
              <w:t>30</w:t>
            </w:r>
            <w:r>
              <w:rPr>
                <w:rFonts w:hint="default"/>
                <w:szCs w:val="21"/>
              </w:rPr>
              <w:t>分</w:t>
            </w:r>
          </w:p>
        </w:tc>
      </w:tr>
      <w:tr w14:paraId="231B077F">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8B7EF40">
            <w:pPr>
              <w:keepNext w:val="0"/>
              <w:keepLines w:val="0"/>
              <w:suppressLineNumbers w:val="0"/>
              <w:spacing w:before="0" w:beforeAutospacing="0" w:after="0" w:afterAutospacing="0"/>
              <w:ind w:left="0" w:right="0"/>
              <w:jc w:val="center"/>
              <w:rPr>
                <w:rFonts w:hint="default"/>
                <w:szCs w:val="21"/>
              </w:rPr>
            </w:pPr>
            <w:r>
              <w:rPr>
                <w:rFonts w:hint="default"/>
                <w:szCs w:val="21"/>
              </w:rPr>
              <w:t>2.2.3</w:t>
            </w:r>
          </w:p>
        </w:tc>
        <w:tc>
          <w:tcPr>
            <w:tcW w:w="1275" w:type="pct"/>
            <w:tcBorders>
              <w:top w:val="single" w:color="auto" w:sz="4" w:space="0"/>
              <w:left w:val="single" w:color="auto" w:sz="4" w:space="0"/>
              <w:bottom w:val="single" w:color="auto" w:sz="4" w:space="0"/>
              <w:right w:val="single" w:color="auto" w:sz="4" w:space="0"/>
            </w:tcBorders>
            <w:vAlign w:val="center"/>
          </w:tcPr>
          <w:p w14:paraId="1EFE4613">
            <w:pPr>
              <w:keepNext w:val="0"/>
              <w:keepLines w:val="0"/>
              <w:suppressLineNumbers w:val="0"/>
              <w:spacing w:before="0" w:beforeAutospacing="0" w:after="0" w:afterAutospacing="0"/>
              <w:ind w:left="0" w:right="0"/>
              <w:jc w:val="left"/>
              <w:rPr>
                <w:rFonts w:hint="default"/>
                <w:szCs w:val="21"/>
              </w:rPr>
            </w:pPr>
            <w:r>
              <w:rPr>
                <w:rFonts w:hint="default"/>
                <w:szCs w:val="21"/>
              </w:rPr>
              <w:t>投标人确认收到招标文件澄清的时间</w:t>
            </w:r>
          </w:p>
        </w:tc>
        <w:tc>
          <w:tcPr>
            <w:tcW w:w="3265" w:type="pct"/>
            <w:tcBorders>
              <w:top w:val="single" w:color="auto" w:sz="4" w:space="0"/>
              <w:left w:val="single" w:color="auto" w:sz="4" w:space="0"/>
              <w:bottom w:val="single" w:color="auto" w:sz="4" w:space="0"/>
              <w:right w:val="single" w:color="auto" w:sz="4" w:space="0"/>
            </w:tcBorders>
            <w:vAlign w:val="center"/>
          </w:tcPr>
          <w:p w14:paraId="1264DCA5">
            <w:pPr>
              <w:keepNext w:val="0"/>
              <w:keepLines w:val="0"/>
              <w:suppressLineNumbers w:val="0"/>
              <w:spacing w:before="0" w:beforeAutospacing="0" w:after="0" w:afterAutospacing="0"/>
              <w:ind w:left="0" w:right="0"/>
              <w:jc w:val="left"/>
              <w:rPr>
                <w:rFonts w:hint="default"/>
                <w:szCs w:val="21"/>
              </w:rPr>
            </w:pPr>
            <w:r>
              <w:rPr>
                <w:rFonts w:hint="eastAsia" w:cs="Arial Unicode MS"/>
                <w:spacing w:val="-2"/>
                <w:szCs w:val="21"/>
              </w:rPr>
              <w:t>在收到相应文件后</w:t>
            </w:r>
            <w:r>
              <w:rPr>
                <w:rFonts w:hint="default" w:cs="Arial Unicode MS"/>
                <w:spacing w:val="-2"/>
                <w:szCs w:val="21"/>
              </w:rPr>
              <w:t>24小时内。</w:t>
            </w:r>
          </w:p>
        </w:tc>
      </w:tr>
      <w:tr w14:paraId="76A9CBE6">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7F2C399">
            <w:pPr>
              <w:keepNext w:val="0"/>
              <w:keepLines w:val="0"/>
              <w:suppressLineNumbers w:val="0"/>
              <w:spacing w:before="0" w:beforeAutospacing="0" w:after="0" w:afterAutospacing="0"/>
              <w:ind w:left="0" w:right="0"/>
              <w:jc w:val="center"/>
              <w:rPr>
                <w:rFonts w:hint="default"/>
                <w:szCs w:val="21"/>
              </w:rPr>
            </w:pPr>
            <w:r>
              <w:rPr>
                <w:rFonts w:hint="default"/>
                <w:szCs w:val="21"/>
              </w:rPr>
              <w:t>2.3.2</w:t>
            </w:r>
          </w:p>
        </w:tc>
        <w:tc>
          <w:tcPr>
            <w:tcW w:w="1275" w:type="pct"/>
            <w:tcBorders>
              <w:top w:val="single" w:color="auto" w:sz="4" w:space="0"/>
              <w:left w:val="single" w:color="auto" w:sz="4" w:space="0"/>
              <w:bottom w:val="single" w:color="auto" w:sz="4" w:space="0"/>
              <w:right w:val="single" w:color="auto" w:sz="4" w:space="0"/>
            </w:tcBorders>
            <w:vAlign w:val="center"/>
          </w:tcPr>
          <w:p w14:paraId="3AC2450E">
            <w:pPr>
              <w:keepNext w:val="0"/>
              <w:keepLines w:val="0"/>
              <w:suppressLineNumbers w:val="0"/>
              <w:spacing w:before="0" w:beforeAutospacing="0" w:after="0" w:afterAutospacing="0"/>
              <w:ind w:left="0" w:right="0"/>
              <w:jc w:val="left"/>
              <w:rPr>
                <w:rFonts w:hint="default"/>
                <w:szCs w:val="21"/>
              </w:rPr>
            </w:pPr>
            <w:r>
              <w:rPr>
                <w:rFonts w:hint="default"/>
                <w:szCs w:val="21"/>
              </w:rPr>
              <w:t>投标人确认收到招标文件修改的时间</w:t>
            </w:r>
          </w:p>
        </w:tc>
        <w:tc>
          <w:tcPr>
            <w:tcW w:w="3265" w:type="pct"/>
            <w:tcBorders>
              <w:top w:val="single" w:color="auto" w:sz="4" w:space="0"/>
              <w:left w:val="single" w:color="auto" w:sz="4" w:space="0"/>
              <w:bottom w:val="single" w:color="auto" w:sz="4" w:space="0"/>
              <w:right w:val="single" w:color="auto" w:sz="4" w:space="0"/>
            </w:tcBorders>
            <w:vAlign w:val="center"/>
          </w:tcPr>
          <w:p w14:paraId="78C3EA39">
            <w:pPr>
              <w:keepNext w:val="0"/>
              <w:keepLines w:val="0"/>
              <w:suppressLineNumbers w:val="0"/>
              <w:spacing w:before="0" w:beforeAutospacing="0" w:after="0" w:afterAutospacing="0"/>
              <w:ind w:left="0" w:right="0"/>
              <w:jc w:val="left"/>
              <w:rPr>
                <w:rFonts w:hint="default"/>
                <w:szCs w:val="21"/>
              </w:rPr>
            </w:pPr>
            <w:r>
              <w:rPr>
                <w:rFonts w:hint="eastAsia" w:cs="Arial Unicode MS"/>
                <w:spacing w:val="-2"/>
                <w:szCs w:val="21"/>
              </w:rPr>
              <w:t>在收到相应文件后</w:t>
            </w:r>
            <w:r>
              <w:rPr>
                <w:rFonts w:hint="default" w:cs="Arial Unicode MS"/>
                <w:spacing w:val="-2"/>
                <w:szCs w:val="21"/>
              </w:rPr>
              <w:t>24小时内。</w:t>
            </w:r>
          </w:p>
        </w:tc>
      </w:tr>
      <w:tr w14:paraId="2C279AD4">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4AD00034">
            <w:pPr>
              <w:keepNext w:val="0"/>
              <w:keepLines w:val="0"/>
              <w:suppressLineNumbers w:val="0"/>
              <w:spacing w:before="0" w:beforeAutospacing="0" w:after="0" w:afterAutospacing="0"/>
              <w:ind w:left="0" w:right="0"/>
              <w:jc w:val="center"/>
              <w:rPr>
                <w:rFonts w:hint="default"/>
                <w:szCs w:val="21"/>
              </w:rPr>
            </w:pPr>
            <w:r>
              <w:rPr>
                <w:rFonts w:hint="default"/>
                <w:szCs w:val="21"/>
              </w:rPr>
              <w:t>3.1</w:t>
            </w:r>
            <w:r>
              <w:rPr>
                <w:rFonts w:hint="eastAsia"/>
                <w:szCs w:val="21"/>
              </w:rPr>
              <w:t>.1</w:t>
            </w:r>
          </w:p>
        </w:tc>
        <w:tc>
          <w:tcPr>
            <w:tcW w:w="1275" w:type="pct"/>
            <w:tcBorders>
              <w:top w:val="single" w:color="auto" w:sz="4" w:space="0"/>
              <w:left w:val="single" w:color="auto" w:sz="4" w:space="0"/>
              <w:bottom w:val="single" w:color="auto" w:sz="4" w:space="0"/>
              <w:right w:val="single" w:color="auto" w:sz="4" w:space="0"/>
            </w:tcBorders>
            <w:vAlign w:val="center"/>
          </w:tcPr>
          <w:p w14:paraId="3833BB73">
            <w:pPr>
              <w:keepNext w:val="0"/>
              <w:keepLines w:val="0"/>
              <w:suppressLineNumbers w:val="0"/>
              <w:spacing w:before="0" w:beforeAutospacing="0" w:after="0" w:afterAutospacing="0"/>
              <w:ind w:left="0" w:right="0"/>
              <w:jc w:val="left"/>
              <w:rPr>
                <w:rFonts w:hint="default"/>
                <w:szCs w:val="21"/>
              </w:rPr>
            </w:pPr>
            <w:r>
              <w:rPr>
                <w:rFonts w:hint="default"/>
                <w:szCs w:val="21"/>
              </w:rPr>
              <w:t>构成投标文件的其他</w:t>
            </w:r>
            <w:r>
              <w:rPr>
                <w:rFonts w:hint="eastAsia"/>
                <w:szCs w:val="21"/>
              </w:rPr>
              <w:t>资</w:t>
            </w:r>
            <w:r>
              <w:rPr>
                <w:rFonts w:hint="default"/>
                <w:szCs w:val="21"/>
              </w:rPr>
              <w:t>料</w:t>
            </w:r>
          </w:p>
        </w:tc>
        <w:tc>
          <w:tcPr>
            <w:tcW w:w="3265" w:type="pct"/>
            <w:tcBorders>
              <w:top w:val="single" w:color="auto" w:sz="4" w:space="0"/>
              <w:left w:val="single" w:color="auto" w:sz="4" w:space="0"/>
              <w:bottom w:val="single" w:color="auto" w:sz="4" w:space="0"/>
              <w:right w:val="single" w:color="auto" w:sz="4" w:space="0"/>
            </w:tcBorders>
            <w:vAlign w:val="center"/>
          </w:tcPr>
          <w:p w14:paraId="10084E41">
            <w:pPr>
              <w:keepNext w:val="0"/>
              <w:keepLines w:val="0"/>
              <w:suppressLineNumbers w:val="0"/>
              <w:spacing w:before="0" w:beforeAutospacing="0" w:after="0" w:afterAutospacing="0"/>
              <w:ind w:left="0" w:right="0"/>
              <w:jc w:val="left"/>
              <w:rPr>
                <w:rFonts w:hint="default"/>
                <w:szCs w:val="21"/>
              </w:rPr>
            </w:pPr>
            <w:r>
              <w:rPr>
                <w:rFonts w:hint="eastAsia"/>
                <w:szCs w:val="21"/>
              </w:rPr>
              <w:t>工程量清单、图纸和招标人发出的答疑、澄清及补充文件</w:t>
            </w:r>
          </w:p>
        </w:tc>
      </w:tr>
      <w:tr w14:paraId="63D4E4FA">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66086B78">
            <w:pPr>
              <w:keepNext w:val="0"/>
              <w:keepLines w:val="0"/>
              <w:suppressLineNumbers w:val="0"/>
              <w:spacing w:before="0" w:beforeAutospacing="0" w:after="0" w:afterAutospacing="0"/>
              <w:ind w:left="0" w:right="0"/>
              <w:jc w:val="center"/>
              <w:rPr>
                <w:rFonts w:hint="default"/>
                <w:szCs w:val="21"/>
              </w:rPr>
            </w:pPr>
            <w:r>
              <w:rPr>
                <w:rFonts w:hint="eastAsia"/>
              </w:rPr>
              <w:t>3.</w:t>
            </w:r>
            <w:r>
              <w:rPr>
                <w:rFonts w:hint="default"/>
                <w:woUserID w:val="2"/>
              </w:rPr>
              <w:t>1</w:t>
            </w:r>
            <w:r>
              <w:rPr>
                <w:rFonts w:hint="eastAsia"/>
              </w:rPr>
              <w:t>.</w:t>
            </w:r>
            <w:r>
              <w:rPr>
                <w:rFonts w:hint="default"/>
                <w:woUserID w:val="2"/>
              </w:rPr>
              <w:t>2</w:t>
            </w:r>
          </w:p>
        </w:tc>
        <w:tc>
          <w:tcPr>
            <w:tcW w:w="1275" w:type="pct"/>
            <w:tcBorders>
              <w:top w:val="single" w:color="auto" w:sz="4" w:space="0"/>
              <w:left w:val="single" w:color="auto" w:sz="4" w:space="0"/>
              <w:bottom w:val="single" w:color="auto" w:sz="4" w:space="0"/>
              <w:right w:val="single" w:color="auto" w:sz="4" w:space="0"/>
            </w:tcBorders>
            <w:vAlign w:val="center"/>
          </w:tcPr>
          <w:p w14:paraId="61AB0F9E">
            <w:pPr>
              <w:keepNext w:val="0"/>
              <w:keepLines w:val="0"/>
              <w:suppressLineNumbers w:val="0"/>
              <w:spacing w:before="0" w:beforeAutospacing="0" w:after="0" w:afterAutospacing="0"/>
              <w:ind w:left="0" w:right="0"/>
              <w:jc w:val="left"/>
              <w:rPr>
                <w:rFonts w:hint="default"/>
                <w:szCs w:val="21"/>
              </w:rPr>
            </w:pPr>
            <w:r>
              <w:rPr>
                <w:rFonts w:hint="eastAsia"/>
                <w:szCs w:val="21"/>
              </w:rPr>
              <w:t>最高投标限价或其计算方法</w:t>
            </w:r>
          </w:p>
        </w:tc>
        <w:tc>
          <w:tcPr>
            <w:tcW w:w="3265" w:type="pct"/>
            <w:tcBorders>
              <w:top w:val="single" w:color="auto" w:sz="4" w:space="0"/>
              <w:left w:val="single" w:color="auto" w:sz="4" w:space="0"/>
              <w:bottom w:val="single" w:color="auto" w:sz="4" w:space="0"/>
              <w:right w:val="single" w:color="auto" w:sz="4" w:space="0"/>
            </w:tcBorders>
            <w:vAlign w:val="center"/>
          </w:tcPr>
          <w:p w14:paraId="111B2DAF">
            <w:pPr>
              <w:keepNext w:val="0"/>
              <w:keepLines w:val="0"/>
              <w:suppressLineNumbers w:val="0"/>
              <w:spacing w:before="0" w:beforeAutospacing="0" w:after="0" w:afterAutospacing="0"/>
              <w:ind w:left="0" w:right="0"/>
              <w:rPr>
                <w:rFonts w:hint="default"/>
              </w:rPr>
            </w:pPr>
            <w:r>
              <w:rPr>
                <w:rFonts w:hint="eastAsia"/>
                <w:szCs w:val="21"/>
                <w:lang w:val="en-US" w:eastAsia="zh-CN"/>
              </w:rPr>
              <w:t>最高投标限价（含税、人民币）：6</w:t>
            </w:r>
            <w:r>
              <w:rPr>
                <w:rFonts w:hint="eastAsia"/>
                <w:szCs w:val="21"/>
                <w:highlight w:val="none"/>
                <w:lang w:val="en-US" w:eastAsia="zh-CN"/>
              </w:rPr>
              <w:t>5000万元</w:t>
            </w:r>
            <w:r>
              <w:rPr>
                <w:rFonts w:hint="eastAsia"/>
                <w:szCs w:val="21"/>
                <w:lang w:val="en-US" w:eastAsia="zh-CN"/>
              </w:rPr>
              <w:t>；</w:t>
            </w:r>
            <w:r>
              <w:rPr>
                <w:rFonts w:hint="default"/>
                <w:szCs w:val="21"/>
                <w:lang w:val="en-US" w:eastAsia="zh-CN"/>
              </w:rPr>
              <w:t xml:space="preserve">   </w:t>
            </w:r>
            <w:r>
              <w:rPr>
                <w:rFonts w:hint="default"/>
              </w:rPr>
              <w:t xml:space="preserve"> </w:t>
            </w:r>
          </w:p>
        </w:tc>
      </w:tr>
      <w:tr w14:paraId="7D6C816B">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556AAE43">
            <w:pPr>
              <w:keepNext w:val="0"/>
              <w:keepLines w:val="0"/>
              <w:suppressLineNumbers w:val="0"/>
              <w:spacing w:before="0" w:beforeAutospacing="0" w:after="0" w:afterAutospacing="0"/>
              <w:ind w:left="0" w:right="0"/>
              <w:jc w:val="center"/>
              <w:rPr>
                <w:rFonts w:hint="default"/>
              </w:rPr>
            </w:pPr>
            <w:r>
              <w:rPr>
                <w:rFonts w:hint="eastAsia"/>
              </w:rPr>
              <w:t>3.</w:t>
            </w:r>
            <w:r>
              <w:rPr>
                <w:rFonts w:hint="default"/>
                <w:woUserID w:val="2"/>
              </w:rPr>
              <w:t>1.3</w:t>
            </w:r>
          </w:p>
        </w:tc>
        <w:tc>
          <w:tcPr>
            <w:tcW w:w="1275" w:type="pct"/>
            <w:tcBorders>
              <w:top w:val="single" w:color="auto" w:sz="4" w:space="0"/>
              <w:left w:val="single" w:color="auto" w:sz="4" w:space="0"/>
              <w:bottom w:val="single" w:color="auto" w:sz="4" w:space="0"/>
              <w:right w:val="single" w:color="auto" w:sz="4" w:space="0"/>
            </w:tcBorders>
            <w:vAlign w:val="center"/>
          </w:tcPr>
          <w:p w14:paraId="60A343E4">
            <w:pPr>
              <w:keepNext w:val="0"/>
              <w:keepLines w:val="0"/>
              <w:suppressLineNumbers w:val="0"/>
              <w:spacing w:before="0" w:beforeAutospacing="0" w:after="0" w:afterAutospacing="0"/>
              <w:ind w:left="0" w:right="0"/>
              <w:jc w:val="left"/>
              <w:rPr>
                <w:rFonts w:hint="default"/>
                <w:szCs w:val="21"/>
              </w:rPr>
            </w:pPr>
            <w:r>
              <w:rPr>
                <w:rFonts w:hint="eastAsia"/>
                <w:szCs w:val="21"/>
              </w:rPr>
              <w:t>投标报价的其他要求</w:t>
            </w:r>
          </w:p>
        </w:tc>
        <w:tc>
          <w:tcPr>
            <w:tcW w:w="3265" w:type="pct"/>
            <w:tcBorders>
              <w:top w:val="single" w:color="auto" w:sz="4" w:space="0"/>
              <w:left w:val="single" w:color="auto" w:sz="4" w:space="0"/>
              <w:bottom w:val="single" w:color="auto" w:sz="4" w:space="0"/>
              <w:right w:val="single" w:color="auto" w:sz="4" w:space="0"/>
            </w:tcBorders>
            <w:vAlign w:val="center"/>
          </w:tcPr>
          <w:p w14:paraId="2BC20E30">
            <w:pPr>
              <w:keepNext w:val="0"/>
              <w:keepLines w:val="0"/>
              <w:suppressLineNumbers w:val="0"/>
              <w:spacing w:before="0" w:beforeAutospacing="0" w:after="0" w:afterAutospacing="0"/>
              <w:ind w:left="0" w:right="0"/>
              <w:jc w:val="left"/>
              <w:rPr>
                <w:rFonts w:hint="default"/>
                <w:szCs w:val="21"/>
              </w:rPr>
            </w:pPr>
            <w:r>
              <w:rPr>
                <w:rFonts w:hint="eastAsia"/>
                <w:szCs w:val="21"/>
              </w:rPr>
              <w:t>具体详见本招标文件。</w:t>
            </w:r>
          </w:p>
        </w:tc>
      </w:tr>
      <w:tr w14:paraId="654AB483">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3548DA0A">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1.4</w:t>
            </w:r>
          </w:p>
        </w:tc>
        <w:tc>
          <w:tcPr>
            <w:tcW w:w="1275" w:type="pct"/>
            <w:tcBorders>
              <w:top w:val="single" w:color="auto" w:sz="4" w:space="0"/>
              <w:left w:val="single" w:color="auto" w:sz="4" w:space="0"/>
              <w:bottom w:val="single" w:color="auto" w:sz="4" w:space="0"/>
              <w:right w:val="single" w:color="auto" w:sz="4" w:space="0"/>
            </w:tcBorders>
            <w:vAlign w:val="center"/>
          </w:tcPr>
          <w:p w14:paraId="74EE8072">
            <w:pPr>
              <w:keepNext w:val="0"/>
              <w:keepLines w:val="0"/>
              <w:suppressLineNumbers w:val="0"/>
              <w:spacing w:before="0" w:beforeAutospacing="0" w:after="0" w:afterAutospacing="0"/>
              <w:ind w:left="0" w:right="0"/>
              <w:jc w:val="left"/>
              <w:rPr>
                <w:rFonts w:hint="default"/>
                <w:szCs w:val="21"/>
              </w:rPr>
            </w:pPr>
            <w:r>
              <w:rPr>
                <w:rFonts w:hint="default"/>
                <w:szCs w:val="21"/>
              </w:rPr>
              <w:t>投标有效期</w:t>
            </w:r>
          </w:p>
        </w:tc>
        <w:tc>
          <w:tcPr>
            <w:tcW w:w="3265" w:type="pct"/>
            <w:tcBorders>
              <w:top w:val="single" w:color="auto" w:sz="4" w:space="0"/>
              <w:left w:val="single" w:color="auto" w:sz="4" w:space="0"/>
              <w:bottom w:val="single" w:color="auto" w:sz="4" w:space="0"/>
              <w:right w:val="single" w:color="auto" w:sz="4" w:space="0"/>
            </w:tcBorders>
            <w:vAlign w:val="center"/>
          </w:tcPr>
          <w:p w14:paraId="10C6CDE7">
            <w:pPr>
              <w:keepNext w:val="0"/>
              <w:keepLines w:val="0"/>
              <w:suppressLineNumbers w:val="0"/>
              <w:spacing w:before="0" w:beforeAutospacing="0" w:after="0" w:afterAutospacing="0"/>
              <w:ind w:left="0" w:right="0"/>
              <w:jc w:val="left"/>
              <w:rPr>
                <w:rFonts w:hint="default"/>
                <w:szCs w:val="21"/>
              </w:rPr>
            </w:pPr>
            <w:r>
              <w:rPr>
                <w:rFonts w:hint="default" w:cs="Arial Unicode MS"/>
                <w:szCs w:val="21"/>
              </w:rPr>
              <w:t>自投标截止时间起</w:t>
            </w:r>
            <w:r>
              <w:rPr>
                <w:rFonts w:hint="default" w:cs="Arial Unicode MS"/>
                <w:spacing w:val="-9"/>
                <w:szCs w:val="21"/>
              </w:rPr>
              <w:t>12</w:t>
            </w:r>
            <w:r>
              <w:rPr>
                <w:rFonts w:hint="eastAsia" w:cs="Arial Unicode MS"/>
                <w:spacing w:val="-9"/>
                <w:szCs w:val="21"/>
              </w:rPr>
              <w:t>0个日历日。</w:t>
            </w:r>
          </w:p>
        </w:tc>
      </w:tr>
      <w:tr w14:paraId="7E9A585E">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7D1E3A7">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1.5</w:t>
            </w:r>
          </w:p>
        </w:tc>
        <w:tc>
          <w:tcPr>
            <w:tcW w:w="1275" w:type="pct"/>
            <w:tcBorders>
              <w:top w:val="single" w:color="auto" w:sz="4" w:space="0"/>
              <w:left w:val="single" w:color="auto" w:sz="4" w:space="0"/>
              <w:bottom w:val="single" w:color="auto" w:sz="4" w:space="0"/>
              <w:right w:val="single" w:color="auto" w:sz="4" w:space="0"/>
            </w:tcBorders>
            <w:vAlign w:val="center"/>
          </w:tcPr>
          <w:p w14:paraId="273FE4C0">
            <w:pPr>
              <w:keepNext w:val="0"/>
              <w:keepLines w:val="0"/>
              <w:suppressLineNumbers w:val="0"/>
              <w:spacing w:before="0" w:beforeAutospacing="0" w:after="0" w:afterAutospacing="0"/>
              <w:ind w:left="0" w:right="0"/>
              <w:jc w:val="left"/>
              <w:rPr>
                <w:rFonts w:hint="default"/>
                <w:szCs w:val="21"/>
              </w:rPr>
            </w:pPr>
            <w:r>
              <w:rPr>
                <w:rFonts w:hint="default"/>
                <w:szCs w:val="21"/>
              </w:rPr>
              <w:t>投标保证金</w:t>
            </w:r>
          </w:p>
        </w:tc>
        <w:tc>
          <w:tcPr>
            <w:tcW w:w="3265" w:type="pct"/>
            <w:tcBorders>
              <w:top w:val="single" w:color="auto" w:sz="4" w:space="0"/>
              <w:left w:val="single" w:color="auto" w:sz="4" w:space="0"/>
              <w:bottom w:val="single" w:color="auto" w:sz="4" w:space="0"/>
              <w:right w:val="single" w:color="auto" w:sz="4" w:space="0"/>
            </w:tcBorders>
            <w:vAlign w:val="center"/>
          </w:tcPr>
          <w:p w14:paraId="35346AC5">
            <w:pPr>
              <w:keepNext w:val="0"/>
              <w:keepLines w:val="0"/>
              <w:suppressLineNumbers w:val="0"/>
              <w:spacing w:before="0" w:beforeAutospacing="0" w:after="0" w:afterAutospacing="0"/>
              <w:ind w:left="0" w:right="0"/>
              <w:jc w:val="left"/>
              <w:rPr>
                <w:rFonts w:hint="default"/>
                <w:szCs w:val="21"/>
              </w:rPr>
            </w:pPr>
            <w:r>
              <w:rPr>
                <w:rFonts w:hint="default" w:ascii="宋体" w:hAnsi="宋体" w:eastAsia="宋体" w:cs="宋体"/>
                <w:szCs w:val="21"/>
                <w:woUserID w:val="2"/>
              </w:rPr>
              <w:t>无</w:t>
            </w:r>
          </w:p>
        </w:tc>
      </w:tr>
      <w:tr w14:paraId="2AB77C75">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05321A9">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1.6</w:t>
            </w:r>
          </w:p>
        </w:tc>
        <w:tc>
          <w:tcPr>
            <w:tcW w:w="1275" w:type="pct"/>
            <w:tcBorders>
              <w:top w:val="single" w:color="auto" w:sz="4" w:space="0"/>
              <w:left w:val="single" w:color="auto" w:sz="4" w:space="0"/>
              <w:bottom w:val="single" w:color="auto" w:sz="4" w:space="0"/>
              <w:right w:val="single" w:color="auto" w:sz="4" w:space="0"/>
            </w:tcBorders>
            <w:vAlign w:val="center"/>
          </w:tcPr>
          <w:p w14:paraId="10D8BE0D">
            <w:pPr>
              <w:keepNext w:val="0"/>
              <w:keepLines w:val="0"/>
              <w:suppressLineNumbers w:val="0"/>
              <w:spacing w:before="0" w:beforeAutospacing="0" w:after="0" w:afterAutospacing="0"/>
              <w:ind w:left="0" w:right="0"/>
              <w:jc w:val="left"/>
              <w:rPr>
                <w:rFonts w:hint="default"/>
                <w:szCs w:val="21"/>
              </w:rPr>
            </w:pPr>
            <w:r>
              <w:rPr>
                <w:rFonts w:hint="default"/>
                <w:szCs w:val="21"/>
              </w:rPr>
              <w:t>近年财务状况</w:t>
            </w:r>
          </w:p>
        </w:tc>
        <w:tc>
          <w:tcPr>
            <w:tcW w:w="3265" w:type="pct"/>
            <w:tcBorders>
              <w:top w:val="single" w:color="auto" w:sz="4" w:space="0"/>
              <w:left w:val="single" w:color="auto" w:sz="4" w:space="0"/>
              <w:bottom w:val="single" w:color="auto" w:sz="4" w:space="0"/>
              <w:right w:val="single" w:color="auto" w:sz="4" w:space="0"/>
            </w:tcBorders>
            <w:vAlign w:val="center"/>
          </w:tcPr>
          <w:p w14:paraId="1A4DCF10">
            <w:pPr>
              <w:keepNext w:val="0"/>
              <w:keepLines w:val="0"/>
              <w:suppressLineNumbers w:val="0"/>
              <w:spacing w:before="0" w:beforeAutospacing="0" w:after="0" w:afterAutospacing="0"/>
              <w:ind w:left="0" w:right="0"/>
              <w:jc w:val="left"/>
              <w:rPr>
                <w:rFonts w:hint="default"/>
                <w:strike/>
                <w:szCs w:val="21"/>
              </w:rPr>
            </w:pPr>
          </w:p>
        </w:tc>
      </w:tr>
      <w:tr w14:paraId="0E04A9DF">
        <w:tblPrEx>
          <w:tblCellMar>
            <w:top w:w="0" w:type="dxa"/>
            <w:left w:w="108" w:type="dxa"/>
            <w:bottom w:w="0" w:type="dxa"/>
            <w:right w:w="108" w:type="dxa"/>
          </w:tblCellMar>
        </w:tblPrEx>
        <w:trPr>
          <w:trHeight w:val="90"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20822B84">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1.7</w:t>
            </w:r>
          </w:p>
        </w:tc>
        <w:tc>
          <w:tcPr>
            <w:tcW w:w="1275" w:type="pct"/>
            <w:tcBorders>
              <w:top w:val="single" w:color="auto" w:sz="4" w:space="0"/>
              <w:left w:val="single" w:color="auto" w:sz="4" w:space="0"/>
              <w:bottom w:val="single" w:color="auto" w:sz="4" w:space="0"/>
              <w:right w:val="single" w:color="auto" w:sz="4" w:space="0"/>
            </w:tcBorders>
            <w:vAlign w:val="center"/>
          </w:tcPr>
          <w:p w14:paraId="4C611877">
            <w:pPr>
              <w:keepNext w:val="0"/>
              <w:keepLines w:val="0"/>
              <w:suppressLineNumbers w:val="0"/>
              <w:spacing w:before="0" w:beforeAutospacing="0" w:after="0" w:afterAutospacing="0"/>
              <w:ind w:left="0" w:right="0"/>
              <w:jc w:val="left"/>
              <w:rPr>
                <w:rFonts w:hint="default"/>
                <w:szCs w:val="21"/>
              </w:rPr>
            </w:pPr>
            <w:r>
              <w:rPr>
                <w:rFonts w:hint="default"/>
                <w:szCs w:val="21"/>
              </w:rPr>
              <w:t>近年完成的类似项目</w:t>
            </w:r>
          </w:p>
        </w:tc>
        <w:tc>
          <w:tcPr>
            <w:tcW w:w="3265" w:type="pct"/>
            <w:tcBorders>
              <w:top w:val="single" w:color="auto" w:sz="4" w:space="0"/>
              <w:left w:val="single" w:color="auto" w:sz="4" w:space="0"/>
              <w:bottom w:val="single" w:color="auto" w:sz="4" w:space="0"/>
              <w:right w:val="single" w:color="auto" w:sz="4" w:space="0"/>
            </w:tcBorders>
            <w:vAlign w:val="center"/>
          </w:tcPr>
          <w:p w14:paraId="01E5BE9F">
            <w:pPr>
              <w:keepNext w:val="0"/>
              <w:keepLines w:val="0"/>
              <w:suppressLineNumbers w:val="0"/>
              <w:spacing w:before="0" w:beforeAutospacing="0" w:after="0" w:afterAutospacing="0"/>
              <w:ind w:left="0" w:right="0"/>
              <w:jc w:val="left"/>
              <w:rPr>
                <w:rFonts w:hint="default"/>
                <w:szCs w:val="21"/>
              </w:rPr>
            </w:pPr>
            <w:r>
              <w:rPr>
                <w:rFonts w:hint="eastAsia"/>
                <w:szCs w:val="21"/>
                <w:u w:val="single"/>
              </w:rPr>
              <w:t>/</w:t>
            </w:r>
          </w:p>
        </w:tc>
      </w:tr>
      <w:tr w14:paraId="0A7B90A6">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F220F70">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1.8</w:t>
            </w:r>
          </w:p>
        </w:tc>
        <w:tc>
          <w:tcPr>
            <w:tcW w:w="1275" w:type="pct"/>
            <w:tcBorders>
              <w:top w:val="single" w:color="auto" w:sz="4" w:space="0"/>
              <w:left w:val="single" w:color="auto" w:sz="4" w:space="0"/>
              <w:bottom w:val="single" w:color="auto" w:sz="4" w:space="0"/>
              <w:right w:val="single" w:color="auto" w:sz="4" w:space="0"/>
            </w:tcBorders>
            <w:vAlign w:val="center"/>
          </w:tcPr>
          <w:p w14:paraId="4BB942D5">
            <w:pPr>
              <w:keepNext w:val="0"/>
              <w:keepLines w:val="0"/>
              <w:suppressLineNumbers w:val="0"/>
              <w:spacing w:before="0" w:beforeAutospacing="0" w:after="0" w:afterAutospacing="0"/>
              <w:ind w:left="0" w:right="0"/>
              <w:jc w:val="left"/>
              <w:rPr>
                <w:rFonts w:hint="default"/>
                <w:szCs w:val="21"/>
              </w:rPr>
            </w:pPr>
            <w:r>
              <w:rPr>
                <w:rFonts w:hint="eastAsia"/>
              </w:rPr>
              <w:t>正在实施和新承接的项目情况表</w:t>
            </w:r>
          </w:p>
        </w:tc>
        <w:tc>
          <w:tcPr>
            <w:tcW w:w="3265" w:type="pct"/>
            <w:tcBorders>
              <w:top w:val="single" w:color="auto" w:sz="4" w:space="0"/>
              <w:left w:val="single" w:color="auto" w:sz="4" w:space="0"/>
              <w:bottom w:val="single" w:color="auto" w:sz="4" w:space="0"/>
              <w:right w:val="single" w:color="auto" w:sz="4" w:space="0"/>
            </w:tcBorders>
            <w:vAlign w:val="center"/>
          </w:tcPr>
          <w:p w14:paraId="6D0858FC">
            <w:pPr>
              <w:keepNext w:val="0"/>
              <w:keepLines w:val="0"/>
              <w:suppressLineNumbers w:val="0"/>
              <w:spacing w:before="0" w:beforeAutospacing="0" w:after="0" w:afterAutospacing="0"/>
              <w:ind w:left="0" w:right="0"/>
              <w:jc w:val="left"/>
              <w:rPr>
                <w:rFonts w:hint="default"/>
                <w:szCs w:val="21"/>
              </w:rPr>
            </w:pPr>
            <w:r>
              <w:rPr>
                <w:rFonts w:hint="eastAsia"/>
                <w:szCs w:val="21"/>
              </w:rPr>
              <w:t>/</w:t>
            </w:r>
          </w:p>
        </w:tc>
      </w:tr>
      <w:tr w14:paraId="04CD32BD">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39689ECF">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1.9</w:t>
            </w:r>
          </w:p>
        </w:tc>
        <w:tc>
          <w:tcPr>
            <w:tcW w:w="1275" w:type="pct"/>
            <w:tcBorders>
              <w:top w:val="single" w:color="auto" w:sz="4" w:space="0"/>
              <w:left w:val="single" w:color="auto" w:sz="4" w:space="0"/>
              <w:bottom w:val="single" w:color="auto" w:sz="4" w:space="0"/>
              <w:right w:val="single" w:color="auto" w:sz="4" w:space="0"/>
            </w:tcBorders>
            <w:vAlign w:val="center"/>
          </w:tcPr>
          <w:p w14:paraId="03430CF8">
            <w:pPr>
              <w:keepNext w:val="0"/>
              <w:keepLines w:val="0"/>
              <w:suppressLineNumbers w:val="0"/>
              <w:spacing w:before="0" w:beforeAutospacing="0" w:after="0" w:afterAutospacing="0"/>
              <w:ind w:left="0" w:right="0"/>
              <w:jc w:val="left"/>
              <w:rPr>
                <w:rFonts w:hint="default"/>
                <w:szCs w:val="21"/>
              </w:rPr>
            </w:pPr>
            <w:r>
              <w:rPr>
                <w:rFonts w:hint="default"/>
                <w:szCs w:val="21"/>
              </w:rPr>
              <w:t>近年发生的</w:t>
            </w:r>
            <w:r>
              <w:rPr>
                <w:rFonts w:hint="eastAsia"/>
                <w:szCs w:val="21"/>
              </w:rPr>
              <w:t>重大</w:t>
            </w:r>
            <w:r>
              <w:rPr>
                <w:rFonts w:hint="default"/>
                <w:szCs w:val="21"/>
              </w:rPr>
              <w:t>诉讼及仲裁情况</w:t>
            </w:r>
          </w:p>
        </w:tc>
        <w:tc>
          <w:tcPr>
            <w:tcW w:w="3265" w:type="pct"/>
            <w:tcBorders>
              <w:top w:val="single" w:color="auto" w:sz="4" w:space="0"/>
              <w:left w:val="single" w:color="auto" w:sz="4" w:space="0"/>
              <w:bottom w:val="single" w:color="auto" w:sz="4" w:space="0"/>
              <w:right w:val="single" w:color="auto" w:sz="4" w:space="0"/>
            </w:tcBorders>
            <w:vAlign w:val="center"/>
          </w:tcPr>
          <w:p w14:paraId="3473E050">
            <w:pPr>
              <w:keepNext w:val="0"/>
              <w:keepLines w:val="0"/>
              <w:suppressLineNumbers w:val="0"/>
              <w:spacing w:before="0" w:beforeAutospacing="0" w:after="0" w:afterAutospacing="0"/>
              <w:ind w:left="0" w:right="0"/>
              <w:jc w:val="left"/>
              <w:rPr>
                <w:rFonts w:hint="default"/>
                <w:szCs w:val="21"/>
              </w:rPr>
            </w:pPr>
            <w:r>
              <w:rPr>
                <w:rFonts w:hint="default"/>
                <w:szCs w:val="21"/>
              </w:rPr>
              <w:t>/</w:t>
            </w:r>
          </w:p>
        </w:tc>
      </w:tr>
      <w:tr w14:paraId="65720A10">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66A2976B">
            <w:pPr>
              <w:keepNext w:val="0"/>
              <w:keepLines w:val="0"/>
              <w:suppressLineNumbers w:val="0"/>
              <w:spacing w:before="0" w:beforeAutospacing="0" w:after="0" w:afterAutospacing="0"/>
              <w:ind w:left="0" w:right="0"/>
              <w:jc w:val="center"/>
              <w:rPr>
                <w:rFonts w:hint="default"/>
                <w:szCs w:val="21"/>
                <w:woUserID w:val="2"/>
              </w:rPr>
            </w:pPr>
            <w:r>
              <w:rPr>
                <w:rFonts w:hint="default"/>
                <w:szCs w:val="21"/>
              </w:rPr>
              <w:t>3.</w:t>
            </w:r>
            <w:r>
              <w:rPr>
                <w:rFonts w:hint="default"/>
                <w:szCs w:val="21"/>
                <w:woUserID w:val="2"/>
              </w:rPr>
              <w:t>2.1</w:t>
            </w:r>
          </w:p>
        </w:tc>
        <w:tc>
          <w:tcPr>
            <w:tcW w:w="1275" w:type="pct"/>
            <w:tcBorders>
              <w:top w:val="single" w:color="auto" w:sz="4" w:space="0"/>
              <w:left w:val="single" w:color="auto" w:sz="4" w:space="0"/>
              <w:bottom w:val="single" w:color="auto" w:sz="4" w:space="0"/>
              <w:right w:val="single" w:color="auto" w:sz="4" w:space="0"/>
            </w:tcBorders>
            <w:vAlign w:val="center"/>
          </w:tcPr>
          <w:p w14:paraId="3E0E333A">
            <w:pPr>
              <w:keepNext w:val="0"/>
              <w:keepLines w:val="0"/>
              <w:suppressLineNumbers w:val="0"/>
              <w:spacing w:before="0" w:beforeAutospacing="0" w:after="0" w:afterAutospacing="0"/>
              <w:ind w:left="0" w:right="0"/>
              <w:jc w:val="left"/>
              <w:rPr>
                <w:rFonts w:hint="default"/>
                <w:szCs w:val="21"/>
              </w:rPr>
            </w:pPr>
            <w:r>
              <w:rPr>
                <w:rFonts w:hint="default"/>
                <w:szCs w:val="21"/>
              </w:rPr>
              <w:t>是否允许</w:t>
            </w:r>
            <w:r>
              <w:rPr>
                <w:rFonts w:hint="eastAsia"/>
                <w:szCs w:val="21"/>
              </w:rPr>
              <w:t>递交备</w:t>
            </w:r>
            <w:r>
              <w:rPr>
                <w:rFonts w:hint="default"/>
                <w:szCs w:val="21"/>
              </w:rPr>
              <w:t>选投标方案</w:t>
            </w:r>
          </w:p>
        </w:tc>
        <w:tc>
          <w:tcPr>
            <w:tcW w:w="3265" w:type="pct"/>
            <w:tcBorders>
              <w:top w:val="single" w:color="auto" w:sz="4" w:space="0"/>
              <w:left w:val="single" w:color="auto" w:sz="4" w:space="0"/>
              <w:bottom w:val="single" w:color="auto" w:sz="4" w:space="0"/>
              <w:right w:val="single" w:color="auto" w:sz="4" w:space="0"/>
            </w:tcBorders>
            <w:vAlign w:val="center"/>
          </w:tcPr>
          <w:p w14:paraId="59F18CED">
            <w:pPr>
              <w:pStyle w:val="17"/>
              <w:keepNext w:val="0"/>
              <w:keepLines w:val="0"/>
              <w:suppressLineNumbers w:val="0"/>
              <w:topLinePunct/>
              <w:spacing w:before="0" w:beforeAutospacing="0" w:after="0" w:afterAutospacing="0"/>
              <w:ind w:left="0" w:right="0"/>
              <w:jc w:val="left"/>
              <w:rPr>
                <w:rFonts w:hint="default"/>
                <w:szCs w:val="21"/>
              </w:rPr>
            </w:pPr>
            <w:r>
              <w:rPr>
                <w:rFonts w:hint="eastAsia" w:ascii="Times New Roman"/>
                <w:sz w:val="21"/>
                <w:szCs w:val="21"/>
              </w:rPr>
              <w:t>不允许</w:t>
            </w:r>
          </w:p>
        </w:tc>
      </w:tr>
      <w:tr w14:paraId="5E63DB43">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0A4D6328">
            <w:pPr>
              <w:keepNext w:val="0"/>
              <w:keepLines w:val="0"/>
              <w:suppressLineNumbers w:val="0"/>
              <w:spacing w:before="0" w:beforeAutospacing="0" w:after="0" w:afterAutospacing="0"/>
              <w:ind w:left="0" w:right="0"/>
              <w:jc w:val="center"/>
              <w:rPr>
                <w:rFonts w:hint="default"/>
                <w:szCs w:val="21"/>
                <w:woUserID w:val="2"/>
              </w:rPr>
            </w:pPr>
            <w:r>
              <w:rPr>
                <w:rFonts w:hint="default"/>
                <w:szCs w:val="21"/>
              </w:rPr>
              <w:t>3.</w:t>
            </w:r>
            <w:r>
              <w:rPr>
                <w:rFonts w:hint="default"/>
                <w:szCs w:val="21"/>
                <w:woUserID w:val="2"/>
              </w:rPr>
              <w:t>2.2</w:t>
            </w:r>
          </w:p>
        </w:tc>
        <w:tc>
          <w:tcPr>
            <w:tcW w:w="1275" w:type="pct"/>
            <w:tcBorders>
              <w:top w:val="single" w:color="auto" w:sz="4" w:space="0"/>
              <w:left w:val="single" w:color="auto" w:sz="4" w:space="0"/>
              <w:bottom w:val="single" w:color="auto" w:sz="4" w:space="0"/>
              <w:right w:val="single" w:color="auto" w:sz="4" w:space="0"/>
            </w:tcBorders>
            <w:vAlign w:val="center"/>
          </w:tcPr>
          <w:p w14:paraId="0261FF88">
            <w:pPr>
              <w:keepNext w:val="0"/>
              <w:keepLines w:val="0"/>
              <w:suppressLineNumbers w:val="0"/>
              <w:spacing w:before="0" w:beforeAutospacing="0" w:after="0" w:afterAutospacing="0"/>
              <w:ind w:left="0" w:right="0"/>
              <w:jc w:val="left"/>
              <w:rPr>
                <w:rFonts w:hint="default"/>
                <w:szCs w:val="21"/>
              </w:rPr>
            </w:pPr>
            <w:r>
              <w:rPr>
                <w:rFonts w:hint="default"/>
                <w:szCs w:val="21"/>
              </w:rPr>
              <w:t>签字或盖章要求</w:t>
            </w:r>
          </w:p>
        </w:tc>
        <w:tc>
          <w:tcPr>
            <w:tcW w:w="3265" w:type="pct"/>
            <w:tcBorders>
              <w:top w:val="single" w:color="auto" w:sz="4" w:space="0"/>
              <w:left w:val="single" w:color="auto" w:sz="4" w:space="0"/>
              <w:bottom w:val="single" w:color="auto" w:sz="4" w:space="0"/>
              <w:right w:val="single" w:color="auto" w:sz="4" w:space="0"/>
            </w:tcBorders>
            <w:vAlign w:val="center"/>
          </w:tcPr>
          <w:p w14:paraId="68099F06">
            <w:pPr>
              <w:keepNext w:val="0"/>
              <w:keepLines w:val="0"/>
              <w:suppressLineNumbers w:val="0"/>
              <w:spacing w:before="0" w:beforeAutospacing="0" w:after="0" w:afterAutospacing="0"/>
              <w:ind w:left="0" w:right="0"/>
              <w:jc w:val="left"/>
              <w:rPr>
                <w:rFonts w:hint="default"/>
                <w:szCs w:val="21"/>
              </w:rPr>
            </w:pPr>
            <w:r>
              <w:rPr>
                <w:rFonts w:hint="eastAsia" w:cs="宋体"/>
                <w:szCs w:val="21"/>
              </w:rPr>
              <w:t>投标文件：应按招标文件要求加盖投标人公章和法定代表人签章。</w:t>
            </w:r>
          </w:p>
        </w:tc>
      </w:tr>
      <w:tr w14:paraId="06EA3D10">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7A717D05">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2.3</w:t>
            </w:r>
          </w:p>
        </w:tc>
        <w:tc>
          <w:tcPr>
            <w:tcW w:w="1275" w:type="pct"/>
            <w:tcBorders>
              <w:top w:val="single" w:color="auto" w:sz="4" w:space="0"/>
              <w:left w:val="single" w:color="auto" w:sz="4" w:space="0"/>
              <w:bottom w:val="single" w:color="auto" w:sz="4" w:space="0"/>
              <w:right w:val="single" w:color="auto" w:sz="4" w:space="0"/>
            </w:tcBorders>
            <w:vAlign w:val="center"/>
          </w:tcPr>
          <w:p w14:paraId="63F62620">
            <w:pPr>
              <w:keepNext w:val="0"/>
              <w:keepLines w:val="0"/>
              <w:suppressLineNumbers w:val="0"/>
              <w:spacing w:before="0" w:beforeAutospacing="0" w:after="0" w:afterAutospacing="0"/>
              <w:ind w:left="0" w:right="0"/>
              <w:jc w:val="left"/>
              <w:rPr>
                <w:rFonts w:hint="default"/>
                <w:szCs w:val="21"/>
              </w:rPr>
            </w:pPr>
            <w:r>
              <w:rPr>
                <w:rFonts w:hint="default"/>
                <w:szCs w:val="21"/>
              </w:rPr>
              <w:t>投标文件份数</w:t>
            </w:r>
          </w:p>
        </w:tc>
        <w:tc>
          <w:tcPr>
            <w:tcW w:w="3265" w:type="pct"/>
            <w:tcBorders>
              <w:top w:val="single" w:color="auto" w:sz="4" w:space="0"/>
              <w:left w:val="single" w:color="auto" w:sz="4" w:space="0"/>
              <w:bottom w:val="single" w:color="auto" w:sz="4" w:space="0"/>
              <w:right w:val="single" w:color="auto" w:sz="4" w:space="0"/>
            </w:tcBorders>
            <w:vAlign w:val="center"/>
          </w:tcPr>
          <w:p w14:paraId="37997C0F">
            <w:pPr>
              <w:pStyle w:val="97"/>
              <w:keepNext w:val="0"/>
              <w:keepLines w:val="0"/>
              <w:suppressLineNumbers w:val="0"/>
              <w:spacing w:before="0" w:beforeAutospacing="0" w:after="0" w:afterAutospacing="0"/>
              <w:ind w:left="0" w:right="0"/>
              <w:jc w:val="left"/>
              <w:rPr>
                <w:rFonts w:hint="default" w:eastAsia="宋体"/>
                <w:szCs w:val="21"/>
                <w:highlight w:val="yellow"/>
                <w:u w:val="single"/>
              </w:rPr>
            </w:pPr>
            <w:r>
              <w:rPr>
                <w:rFonts w:hint="eastAsia" w:ascii="宋体" w:hAnsi="宋体" w:eastAsia="宋体" w:cs="宋体"/>
                <w:kern w:val="2"/>
                <w:sz w:val="21"/>
                <w:szCs w:val="21"/>
                <w:lang w:val="en-US" w:eastAsia="zh-CN" w:bidi="ar-SA"/>
              </w:rPr>
              <w:t>本项目开评标无需提交纸质版投标文件。中标后，中标人须按招标人要求无偿提供纸质版投标文件（含图纸）正本</w:t>
            </w:r>
            <w:r>
              <w:rPr>
                <w:rFonts w:hint="default" w:ascii="宋体" w:hAnsi="宋体" w:eastAsia="宋体" w:cs="宋体"/>
                <w:kern w:val="2"/>
                <w:sz w:val="21"/>
                <w:szCs w:val="21"/>
                <w:lang w:val="en-US" w:eastAsia="zh-CN" w:bidi="ar-SA"/>
              </w:rPr>
              <w:t>1份，副本4份</w:t>
            </w:r>
            <w:r>
              <w:rPr>
                <w:rFonts w:hint="eastAsia" w:ascii="宋体" w:hAnsi="宋体" w:eastAsia="宋体" w:cs="宋体"/>
                <w:kern w:val="2"/>
                <w:sz w:val="21"/>
                <w:szCs w:val="21"/>
                <w:lang w:val="en-US" w:eastAsia="zh-CN" w:bidi="ar-SA"/>
              </w:rPr>
              <w:t>及投标电子文件</w:t>
            </w:r>
            <w:r>
              <w:rPr>
                <w:rFonts w:hint="default"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评标结束后各投标人须将电子版投标文件发送至招标代理邮箱：751317815@qq.com.</w:t>
            </w:r>
          </w:p>
        </w:tc>
      </w:tr>
      <w:tr w14:paraId="5E7AEAD9">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44D8285">
            <w:pPr>
              <w:keepNext w:val="0"/>
              <w:keepLines w:val="0"/>
              <w:suppressLineNumbers w:val="0"/>
              <w:spacing w:before="0" w:beforeAutospacing="0" w:after="0" w:afterAutospacing="0"/>
              <w:ind w:left="0" w:right="0"/>
              <w:jc w:val="center"/>
              <w:rPr>
                <w:rFonts w:hint="default"/>
                <w:szCs w:val="21"/>
              </w:rPr>
            </w:pPr>
            <w:r>
              <w:rPr>
                <w:rFonts w:hint="default"/>
                <w:szCs w:val="21"/>
              </w:rPr>
              <w:t>3.</w:t>
            </w:r>
            <w:r>
              <w:rPr>
                <w:rFonts w:hint="default"/>
                <w:szCs w:val="21"/>
                <w:woUserID w:val="2"/>
              </w:rPr>
              <w:t>2.4</w:t>
            </w:r>
          </w:p>
        </w:tc>
        <w:tc>
          <w:tcPr>
            <w:tcW w:w="1275" w:type="pct"/>
            <w:tcBorders>
              <w:top w:val="single" w:color="auto" w:sz="4" w:space="0"/>
              <w:left w:val="single" w:color="auto" w:sz="4" w:space="0"/>
              <w:bottom w:val="single" w:color="auto" w:sz="4" w:space="0"/>
              <w:right w:val="single" w:color="auto" w:sz="4" w:space="0"/>
            </w:tcBorders>
            <w:vAlign w:val="center"/>
          </w:tcPr>
          <w:p w14:paraId="41E76867">
            <w:pPr>
              <w:keepNext w:val="0"/>
              <w:keepLines w:val="0"/>
              <w:suppressLineNumbers w:val="0"/>
              <w:spacing w:before="0" w:beforeAutospacing="0" w:after="0" w:afterAutospacing="0"/>
              <w:ind w:left="0" w:right="0"/>
              <w:jc w:val="left"/>
              <w:rPr>
                <w:rFonts w:hint="default"/>
                <w:szCs w:val="21"/>
              </w:rPr>
            </w:pPr>
            <w:r>
              <w:rPr>
                <w:rFonts w:hint="default"/>
                <w:szCs w:val="21"/>
              </w:rPr>
              <w:t>装订要求</w:t>
            </w:r>
          </w:p>
        </w:tc>
        <w:tc>
          <w:tcPr>
            <w:tcW w:w="3265" w:type="pct"/>
            <w:tcBorders>
              <w:top w:val="single" w:color="auto" w:sz="4" w:space="0"/>
              <w:left w:val="single" w:color="auto" w:sz="4" w:space="0"/>
              <w:bottom w:val="single" w:color="auto" w:sz="4" w:space="0"/>
              <w:right w:val="single" w:color="auto" w:sz="4" w:space="0"/>
            </w:tcBorders>
            <w:vAlign w:val="center"/>
          </w:tcPr>
          <w:p w14:paraId="5049251B">
            <w:pPr>
              <w:keepNext w:val="0"/>
              <w:keepLines w:val="0"/>
              <w:suppressLineNumbers w:val="0"/>
              <w:spacing w:before="0" w:beforeAutospacing="0" w:after="0" w:afterAutospacing="0"/>
              <w:ind w:left="0" w:right="0"/>
              <w:jc w:val="left"/>
              <w:rPr>
                <w:rFonts w:hint="default"/>
                <w:szCs w:val="21"/>
              </w:rPr>
            </w:pPr>
            <w:r>
              <w:rPr>
                <w:rFonts w:hint="eastAsia"/>
                <w:szCs w:val="21"/>
              </w:rPr>
              <w:t>投标人中标后按照招标人要求装订纸质文件</w:t>
            </w:r>
            <w:r>
              <w:rPr>
                <w:rFonts w:hint="default"/>
                <w:szCs w:val="21"/>
              </w:rPr>
              <w:t>，可分册装订，每册采用胶装方式装订，装订应牢固、不易拆散和换页，不得采用活页装订。</w:t>
            </w:r>
          </w:p>
        </w:tc>
      </w:tr>
      <w:tr w14:paraId="2F1238B6">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265FC57E">
            <w:pPr>
              <w:keepNext w:val="0"/>
              <w:keepLines w:val="0"/>
              <w:suppressLineNumbers w:val="0"/>
              <w:spacing w:before="0" w:beforeAutospacing="0" w:after="0" w:afterAutospacing="0"/>
              <w:ind w:left="0" w:right="0"/>
              <w:jc w:val="center"/>
              <w:rPr>
                <w:rFonts w:hint="default"/>
                <w:szCs w:val="21"/>
              </w:rPr>
            </w:pPr>
            <w:r>
              <w:rPr>
                <w:rFonts w:hint="default"/>
                <w:szCs w:val="21"/>
              </w:rPr>
              <w:t>4.1.</w:t>
            </w:r>
            <w:r>
              <w:rPr>
                <w:rFonts w:hint="default"/>
                <w:szCs w:val="21"/>
                <w:woUserID w:val="2"/>
              </w:rPr>
              <w:t>1</w:t>
            </w:r>
          </w:p>
        </w:tc>
        <w:tc>
          <w:tcPr>
            <w:tcW w:w="1275" w:type="pct"/>
            <w:tcBorders>
              <w:top w:val="single" w:color="auto" w:sz="4" w:space="0"/>
              <w:left w:val="single" w:color="auto" w:sz="4" w:space="0"/>
              <w:bottom w:val="single" w:color="auto" w:sz="4" w:space="0"/>
              <w:right w:val="single" w:color="auto" w:sz="4" w:space="0"/>
            </w:tcBorders>
            <w:vAlign w:val="center"/>
          </w:tcPr>
          <w:p w14:paraId="7755BA54">
            <w:pPr>
              <w:keepNext w:val="0"/>
              <w:keepLines w:val="0"/>
              <w:suppressLineNumbers w:val="0"/>
              <w:spacing w:before="0" w:beforeAutospacing="0" w:after="0" w:afterAutospacing="0"/>
              <w:ind w:left="0" w:right="0"/>
              <w:jc w:val="left"/>
              <w:rPr>
                <w:rFonts w:hint="default"/>
                <w:szCs w:val="21"/>
              </w:rPr>
            </w:pPr>
            <w:r>
              <w:rPr>
                <w:rFonts w:hint="default"/>
                <w:szCs w:val="21"/>
              </w:rPr>
              <w:t>封套上</w:t>
            </w:r>
            <w:r>
              <w:rPr>
                <w:rFonts w:hint="eastAsia"/>
                <w:szCs w:val="21"/>
              </w:rPr>
              <w:t>应载明的信息</w:t>
            </w:r>
          </w:p>
        </w:tc>
        <w:tc>
          <w:tcPr>
            <w:tcW w:w="3265" w:type="pct"/>
            <w:tcBorders>
              <w:top w:val="single" w:color="auto" w:sz="4" w:space="0"/>
              <w:left w:val="single" w:color="auto" w:sz="4" w:space="0"/>
              <w:bottom w:val="single" w:color="auto" w:sz="4" w:space="0"/>
              <w:right w:val="single" w:color="auto" w:sz="4" w:space="0"/>
            </w:tcBorders>
            <w:vAlign w:val="center"/>
          </w:tcPr>
          <w:p w14:paraId="71B52454">
            <w:pPr>
              <w:keepNext w:val="0"/>
              <w:keepLines w:val="0"/>
              <w:suppressLineNumbers w:val="0"/>
              <w:spacing w:before="0" w:beforeAutospacing="0" w:after="0" w:afterAutospacing="0"/>
              <w:ind w:left="0" w:right="0"/>
              <w:jc w:val="left"/>
              <w:rPr>
                <w:rFonts w:hint="default"/>
                <w:szCs w:val="21"/>
              </w:rPr>
            </w:pPr>
            <w:r>
              <w:rPr>
                <w:rFonts w:hint="eastAsia"/>
                <w:szCs w:val="21"/>
              </w:rPr>
              <w:t>/</w:t>
            </w:r>
          </w:p>
        </w:tc>
      </w:tr>
      <w:tr w14:paraId="3A1A51D4">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1916FBAB">
            <w:pPr>
              <w:keepNext w:val="0"/>
              <w:keepLines w:val="0"/>
              <w:suppressLineNumbers w:val="0"/>
              <w:spacing w:before="0" w:beforeAutospacing="0" w:after="0" w:afterAutospacing="0"/>
              <w:ind w:left="0" w:right="0"/>
              <w:jc w:val="center"/>
              <w:rPr>
                <w:rFonts w:hint="default"/>
                <w:szCs w:val="21"/>
              </w:rPr>
            </w:pPr>
            <w:r>
              <w:rPr>
                <w:rFonts w:hint="default"/>
                <w:szCs w:val="21"/>
              </w:rPr>
              <w:t>4.2.2</w:t>
            </w:r>
          </w:p>
        </w:tc>
        <w:tc>
          <w:tcPr>
            <w:tcW w:w="1275" w:type="pct"/>
            <w:tcBorders>
              <w:top w:val="single" w:color="auto" w:sz="4" w:space="0"/>
              <w:left w:val="single" w:color="auto" w:sz="4" w:space="0"/>
              <w:bottom w:val="single" w:color="auto" w:sz="4" w:space="0"/>
              <w:right w:val="single" w:color="auto" w:sz="4" w:space="0"/>
            </w:tcBorders>
            <w:vAlign w:val="center"/>
          </w:tcPr>
          <w:p w14:paraId="17D4ECB7">
            <w:pPr>
              <w:keepNext w:val="0"/>
              <w:keepLines w:val="0"/>
              <w:suppressLineNumbers w:val="0"/>
              <w:spacing w:before="0" w:beforeAutospacing="0" w:after="0" w:afterAutospacing="0"/>
              <w:ind w:left="0" w:right="0"/>
              <w:jc w:val="left"/>
              <w:rPr>
                <w:rFonts w:hint="default"/>
                <w:szCs w:val="21"/>
              </w:rPr>
            </w:pPr>
            <w:r>
              <w:rPr>
                <w:rFonts w:hint="default"/>
                <w:szCs w:val="21"/>
              </w:rPr>
              <w:t>递交投标文件地点</w:t>
            </w:r>
          </w:p>
        </w:tc>
        <w:tc>
          <w:tcPr>
            <w:tcW w:w="3265" w:type="pct"/>
            <w:tcBorders>
              <w:top w:val="single" w:color="auto" w:sz="4" w:space="0"/>
              <w:left w:val="single" w:color="auto" w:sz="4" w:space="0"/>
              <w:bottom w:val="single" w:color="auto" w:sz="4" w:space="0"/>
              <w:right w:val="single" w:color="auto" w:sz="4" w:space="0"/>
            </w:tcBorders>
            <w:vAlign w:val="center"/>
          </w:tcPr>
          <w:p w14:paraId="1BD89C78">
            <w:pPr>
              <w:keepNext w:val="0"/>
              <w:keepLines w:val="0"/>
              <w:suppressLineNumbers w:val="0"/>
              <w:spacing w:before="0" w:beforeAutospacing="0" w:after="0" w:afterAutospacing="0"/>
              <w:ind w:left="0" w:right="0"/>
              <w:jc w:val="left"/>
              <w:rPr>
                <w:rFonts w:hint="default"/>
                <w:szCs w:val="21"/>
              </w:rPr>
            </w:pPr>
          </w:p>
        </w:tc>
      </w:tr>
      <w:tr w14:paraId="2F1389B9">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4EF3015F">
            <w:pPr>
              <w:keepNext w:val="0"/>
              <w:keepLines w:val="0"/>
              <w:suppressLineNumbers w:val="0"/>
              <w:spacing w:before="0" w:beforeAutospacing="0" w:after="0" w:afterAutospacing="0"/>
              <w:ind w:left="0" w:right="0"/>
              <w:jc w:val="center"/>
              <w:rPr>
                <w:rFonts w:hint="default"/>
                <w:szCs w:val="21"/>
              </w:rPr>
            </w:pPr>
            <w:r>
              <w:rPr>
                <w:rFonts w:hint="default"/>
                <w:szCs w:val="21"/>
              </w:rPr>
              <w:t>4.2.3</w:t>
            </w:r>
          </w:p>
        </w:tc>
        <w:tc>
          <w:tcPr>
            <w:tcW w:w="1275" w:type="pct"/>
            <w:tcBorders>
              <w:top w:val="single" w:color="auto" w:sz="4" w:space="0"/>
              <w:left w:val="single" w:color="auto" w:sz="4" w:space="0"/>
              <w:bottom w:val="single" w:color="auto" w:sz="4" w:space="0"/>
              <w:right w:val="single" w:color="auto" w:sz="4" w:space="0"/>
            </w:tcBorders>
            <w:vAlign w:val="center"/>
          </w:tcPr>
          <w:p w14:paraId="4B70C099">
            <w:pPr>
              <w:keepNext w:val="0"/>
              <w:keepLines w:val="0"/>
              <w:suppressLineNumbers w:val="0"/>
              <w:spacing w:before="0" w:beforeAutospacing="0" w:after="0" w:afterAutospacing="0"/>
              <w:ind w:left="0" w:right="0"/>
              <w:jc w:val="left"/>
              <w:rPr>
                <w:rFonts w:hint="default"/>
                <w:szCs w:val="21"/>
              </w:rPr>
            </w:pPr>
            <w:r>
              <w:rPr>
                <w:rFonts w:hint="default"/>
                <w:szCs w:val="21"/>
              </w:rPr>
              <w:t>是否退还投标文件</w:t>
            </w:r>
          </w:p>
        </w:tc>
        <w:tc>
          <w:tcPr>
            <w:tcW w:w="3265" w:type="pct"/>
            <w:tcBorders>
              <w:top w:val="single" w:color="auto" w:sz="4" w:space="0"/>
              <w:left w:val="single" w:color="auto" w:sz="4" w:space="0"/>
              <w:bottom w:val="single" w:color="auto" w:sz="4" w:space="0"/>
              <w:right w:val="single" w:color="auto" w:sz="4" w:space="0"/>
            </w:tcBorders>
            <w:vAlign w:val="center"/>
          </w:tcPr>
          <w:p w14:paraId="736F9CAC">
            <w:pPr>
              <w:pStyle w:val="17"/>
              <w:keepNext w:val="0"/>
              <w:keepLines w:val="0"/>
              <w:suppressLineNumbers w:val="0"/>
              <w:topLinePunct/>
              <w:spacing w:before="0" w:beforeAutospacing="0" w:after="0" w:afterAutospacing="0"/>
              <w:ind w:left="0" w:right="0"/>
              <w:jc w:val="left"/>
              <w:rPr>
                <w:rFonts w:hint="default"/>
                <w:szCs w:val="21"/>
              </w:rPr>
            </w:pPr>
            <w:r>
              <w:rPr>
                <w:rFonts w:hint="eastAsia" w:ascii="Times New Roman"/>
                <w:sz w:val="21"/>
                <w:szCs w:val="21"/>
              </w:rPr>
              <w:t>否</w:t>
            </w:r>
          </w:p>
        </w:tc>
      </w:tr>
      <w:tr w14:paraId="64B17F1E">
        <w:tblPrEx>
          <w:tblCellMar>
            <w:top w:w="0" w:type="dxa"/>
            <w:left w:w="108" w:type="dxa"/>
            <w:bottom w:w="0" w:type="dxa"/>
            <w:right w:w="108" w:type="dxa"/>
          </w:tblCellMar>
        </w:tblPrEx>
        <w:trPr>
          <w:trHeight w:val="880" w:hRule="atLeast"/>
          <w:jc w:val="center"/>
        </w:trPr>
        <w:tc>
          <w:tcPr>
            <w:tcW w:w="458" w:type="pct"/>
            <w:tcBorders>
              <w:top w:val="single" w:color="auto" w:sz="4" w:space="0"/>
              <w:left w:val="single" w:color="auto" w:sz="4" w:space="0"/>
              <w:right w:val="single" w:color="auto" w:sz="4" w:space="0"/>
            </w:tcBorders>
            <w:vAlign w:val="center"/>
          </w:tcPr>
          <w:p w14:paraId="41DE3A04">
            <w:pPr>
              <w:keepNext w:val="0"/>
              <w:keepLines w:val="0"/>
              <w:suppressLineNumbers w:val="0"/>
              <w:spacing w:before="0" w:beforeAutospacing="0" w:after="0" w:afterAutospacing="0"/>
              <w:ind w:left="0" w:right="0"/>
              <w:jc w:val="center"/>
              <w:rPr>
                <w:rFonts w:hint="default"/>
                <w:szCs w:val="21"/>
                <w:woUserID w:val="2"/>
              </w:rPr>
            </w:pPr>
            <w:r>
              <w:rPr>
                <w:rFonts w:hint="default"/>
                <w:szCs w:val="21"/>
              </w:rPr>
              <w:t>5.1</w:t>
            </w:r>
            <w:r>
              <w:rPr>
                <w:rFonts w:hint="default"/>
                <w:szCs w:val="21"/>
                <w:woUserID w:val="2"/>
              </w:rPr>
              <w:t>.1</w:t>
            </w:r>
          </w:p>
        </w:tc>
        <w:tc>
          <w:tcPr>
            <w:tcW w:w="1275" w:type="pct"/>
            <w:tcBorders>
              <w:top w:val="single" w:color="auto" w:sz="4" w:space="0"/>
              <w:left w:val="single" w:color="auto" w:sz="4" w:space="0"/>
              <w:right w:val="single" w:color="auto" w:sz="4" w:space="0"/>
            </w:tcBorders>
            <w:vAlign w:val="center"/>
          </w:tcPr>
          <w:p w14:paraId="5A1589B5">
            <w:pPr>
              <w:keepNext w:val="0"/>
              <w:keepLines w:val="0"/>
              <w:suppressLineNumbers w:val="0"/>
              <w:spacing w:before="0" w:beforeAutospacing="0" w:after="0" w:afterAutospacing="0"/>
              <w:ind w:left="0" w:right="0"/>
              <w:jc w:val="left"/>
              <w:rPr>
                <w:rFonts w:hint="default"/>
                <w:szCs w:val="21"/>
              </w:rPr>
            </w:pPr>
            <w:r>
              <w:rPr>
                <w:rFonts w:hint="eastAsia"/>
                <w:szCs w:val="21"/>
              </w:rPr>
              <w:t>开标时间和地点</w:t>
            </w:r>
          </w:p>
        </w:tc>
        <w:tc>
          <w:tcPr>
            <w:tcW w:w="3265" w:type="pct"/>
            <w:tcBorders>
              <w:top w:val="single" w:color="auto" w:sz="4" w:space="0"/>
              <w:left w:val="single" w:color="auto" w:sz="4" w:space="0"/>
              <w:right w:val="single" w:color="auto" w:sz="4" w:space="0"/>
            </w:tcBorders>
            <w:vAlign w:val="center"/>
          </w:tcPr>
          <w:p w14:paraId="46D41F39">
            <w:pPr>
              <w:keepNext w:val="0"/>
              <w:keepLines w:val="0"/>
              <w:suppressLineNumbers w:val="0"/>
              <w:spacing w:before="0" w:beforeAutospacing="0" w:after="0" w:afterAutospacing="0"/>
              <w:ind w:left="0" w:right="0"/>
              <w:rPr>
                <w:rFonts w:hint="default"/>
                <w:szCs w:val="21"/>
              </w:rPr>
            </w:pPr>
            <w:r>
              <w:rPr>
                <w:rFonts w:hint="eastAsia"/>
                <w:szCs w:val="21"/>
              </w:rPr>
              <w:t>本次招标投标截止时间（开标时间，下同）为202</w:t>
            </w:r>
            <w:r>
              <w:rPr>
                <w:rFonts w:hint="eastAsia"/>
                <w:szCs w:val="21"/>
                <w:lang w:val="en-US" w:eastAsia="zh-CN"/>
              </w:rPr>
              <w:t>5</w:t>
            </w:r>
            <w:r>
              <w:rPr>
                <w:rFonts w:hint="default"/>
                <w:szCs w:val="21"/>
              </w:rPr>
              <w:t>年</w:t>
            </w:r>
            <w:r>
              <w:rPr>
                <w:rFonts w:hint="eastAsia"/>
                <w:szCs w:val="21"/>
                <w:lang w:val="en-US" w:eastAsia="zh-CN"/>
              </w:rPr>
              <w:t xml:space="preserve">2 </w:t>
            </w:r>
            <w:r>
              <w:rPr>
                <w:rFonts w:hint="default"/>
                <w:szCs w:val="21"/>
              </w:rPr>
              <w:t>月</w:t>
            </w:r>
            <w:bookmarkStart w:id="508" w:name="_GoBack"/>
            <w:bookmarkEnd w:id="508"/>
            <w:r>
              <w:rPr>
                <w:rFonts w:hint="eastAsia"/>
                <w:szCs w:val="21"/>
                <w:lang w:val="en-US" w:eastAsia="zh-CN"/>
              </w:rPr>
              <w:t xml:space="preserve"> 27</w:t>
            </w:r>
            <w:r>
              <w:rPr>
                <w:rFonts w:hint="default"/>
                <w:szCs w:val="21"/>
              </w:rPr>
              <w:t>日</w:t>
            </w:r>
            <w:r>
              <w:rPr>
                <w:rFonts w:hint="eastAsia"/>
                <w:szCs w:val="21"/>
              </w:rPr>
              <w:t>15</w:t>
            </w:r>
            <w:r>
              <w:rPr>
                <w:rFonts w:hint="default"/>
                <w:szCs w:val="21"/>
              </w:rPr>
              <w:t>时</w:t>
            </w:r>
            <w:r>
              <w:rPr>
                <w:rFonts w:hint="eastAsia"/>
                <w:szCs w:val="21"/>
              </w:rPr>
              <w:t>30</w:t>
            </w:r>
            <w:r>
              <w:rPr>
                <w:rFonts w:hint="default"/>
                <w:szCs w:val="21"/>
              </w:rPr>
              <w:t>分（北京时间）；</w:t>
            </w:r>
          </w:p>
          <w:p w14:paraId="5446F425">
            <w:pPr>
              <w:keepNext w:val="0"/>
              <w:keepLines w:val="0"/>
              <w:suppressLineNumbers w:val="0"/>
              <w:spacing w:before="0" w:beforeAutospacing="0" w:after="0" w:afterAutospacing="0"/>
              <w:ind w:left="0" w:right="0"/>
              <w:rPr>
                <w:rFonts w:hint="default"/>
                <w:szCs w:val="21"/>
              </w:rPr>
            </w:pPr>
            <w:r>
              <w:rPr>
                <w:rFonts w:hint="default"/>
                <w:szCs w:val="21"/>
              </w:rPr>
              <w:t xml:space="preserve"> 投标文件递交方式：</w:t>
            </w:r>
            <w:r>
              <w:rPr>
                <w:rFonts w:hint="eastAsia"/>
              </w:rPr>
              <w:t>盐城林辰项目管理有限公司</w:t>
            </w:r>
            <w:r>
              <w:rPr>
                <w:rFonts w:hint="default"/>
              </w:rPr>
              <w:t>代理部（</w:t>
            </w:r>
            <w:r>
              <w:rPr>
                <w:rFonts w:hint="eastAsia"/>
              </w:rPr>
              <w:t>盐城大丰区金融大厦1609室</w:t>
            </w:r>
            <w:r>
              <w:rPr>
                <w:rFonts w:hint="default"/>
              </w:rPr>
              <w:t>）</w:t>
            </w:r>
          </w:p>
        </w:tc>
      </w:tr>
      <w:tr w14:paraId="47FEA0B3">
        <w:tblPrEx>
          <w:tblCellMar>
            <w:top w:w="0" w:type="dxa"/>
            <w:left w:w="108" w:type="dxa"/>
            <w:bottom w:w="0" w:type="dxa"/>
            <w:right w:w="108" w:type="dxa"/>
          </w:tblCellMar>
        </w:tblPrEx>
        <w:trPr>
          <w:trHeight w:val="381" w:hRule="atLeast"/>
          <w:jc w:val="center"/>
        </w:trPr>
        <w:tc>
          <w:tcPr>
            <w:tcW w:w="458" w:type="pct"/>
            <w:tcBorders>
              <w:top w:val="single" w:color="auto" w:sz="4" w:space="0"/>
              <w:left w:val="single" w:color="auto" w:sz="4" w:space="0"/>
              <w:right w:val="single" w:color="auto" w:sz="4" w:space="0"/>
            </w:tcBorders>
            <w:vAlign w:val="center"/>
          </w:tcPr>
          <w:p w14:paraId="0BC811D5">
            <w:pPr>
              <w:keepNext w:val="0"/>
              <w:keepLines w:val="0"/>
              <w:suppressLineNumbers w:val="0"/>
              <w:spacing w:before="0" w:beforeAutospacing="0" w:after="0" w:afterAutospacing="0"/>
              <w:ind w:left="0" w:right="0"/>
              <w:jc w:val="center"/>
              <w:rPr>
                <w:rFonts w:hint="default"/>
                <w:szCs w:val="21"/>
              </w:rPr>
            </w:pPr>
            <w:r>
              <w:rPr>
                <w:rFonts w:hint="eastAsia"/>
                <w:szCs w:val="21"/>
              </w:rPr>
              <w:t>5.</w:t>
            </w:r>
            <w:r>
              <w:rPr>
                <w:rFonts w:hint="default"/>
                <w:szCs w:val="21"/>
                <w:woUserID w:val="2"/>
              </w:rPr>
              <w:t>1.</w:t>
            </w:r>
            <w:r>
              <w:rPr>
                <w:rFonts w:hint="eastAsia"/>
                <w:szCs w:val="21"/>
              </w:rPr>
              <w:t>2</w:t>
            </w:r>
          </w:p>
        </w:tc>
        <w:tc>
          <w:tcPr>
            <w:tcW w:w="1275" w:type="pct"/>
            <w:tcBorders>
              <w:top w:val="single" w:color="auto" w:sz="4" w:space="0"/>
              <w:left w:val="single" w:color="auto" w:sz="4" w:space="0"/>
              <w:right w:val="single" w:color="auto" w:sz="4" w:space="0"/>
            </w:tcBorders>
            <w:vAlign w:val="center"/>
          </w:tcPr>
          <w:p w14:paraId="701EA5F9">
            <w:pPr>
              <w:keepNext w:val="0"/>
              <w:keepLines w:val="0"/>
              <w:suppressLineNumbers w:val="0"/>
              <w:spacing w:before="0" w:beforeAutospacing="0" w:after="0" w:afterAutospacing="0"/>
              <w:ind w:left="0" w:right="0"/>
              <w:jc w:val="left"/>
              <w:rPr>
                <w:rFonts w:hint="default"/>
                <w:szCs w:val="21"/>
              </w:rPr>
            </w:pPr>
            <w:r>
              <w:rPr>
                <w:rFonts w:hint="eastAsia"/>
                <w:szCs w:val="21"/>
              </w:rPr>
              <w:t>开标程序</w:t>
            </w:r>
          </w:p>
        </w:tc>
        <w:tc>
          <w:tcPr>
            <w:tcW w:w="3265" w:type="pct"/>
            <w:tcBorders>
              <w:top w:val="single" w:color="auto" w:sz="4" w:space="0"/>
              <w:left w:val="single" w:color="auto" w:sz="4" w:space="0"/>
              <w:right w:val="single" w:color="auto" w:sz="4" w:space="0"/>
            </w:tcBorders>
            <w:vAlign w:val="center"/>
          </w:tcPr>
          <w:p w14:paraId="003961A2">
            <w:pPr>
              <w:keepNext w:val="0"/>
              <w:keepLines w:val="0"/>
              <w:suppressLineNumbers w:val="0"/>
              <w:spacing w:before="0" w:beforeAutospacing="0" w:after="0" w:afterAutospacing="0"/>
              <w:ind w:left="0" w:right="0"/>
              <w:rPr>
                <w:rFonts w:hint="default" w:cs="宋体"/>
                <w:szCs w:val="21"/>
              </w:rPr>
            </w:pPr>
            <w:r>
              <w:rPr>
                <w:rFonts w:hint="eastAsia" w:cs="宋体"/>
                <w:szCs w:val="21"/>
              </w:rPr>
              <w:t>1</w:t>
            </w:r>
            <w:r>
              <w:rPr>
                <w:rFonts w:hint="default" w:cs="宋体"/>
                <w:szCs w:val="21"/>
              </w:rPr>
              <w:t>.</w:t>
            </w:r>
            <w:r>
              <w:rPr>
                <w:rFonts w:hint="eastAsia" w:cs="宋体"/>
                <w:szCs w:val="21"/>
              </w:rPr>
              <w:t>开标时间到达后，公布投标人名单情况。</w:t>
            </w:r>
          </w:p>
          <w:p w14:paraId="0E6C5DA0">
            <w:pPr>
              <w:keepNext w:val="0"/>
              <w:keepLines w:val="0"/>
              <w:suppressLineNumbers w:val="0"/>
              <w:spacing w:before="0" w:beforeAutospacing="0" w:after="0" w:afterAutospacing="0"/>
              <w:ind w:left="0" w:right="0"/>
              <w:rPr>
                <w:rFonts w:hint="default" w:cs="宋体"/>
                <w:szCs w:val="21"/>
              </w:rPr>
            </w:pPr>
            <w:r>
              <w:rPr>
                <w:rFonts w:hint="eastAsia" w:cs="宋体"/>
                <w:szCs w:val="21"/>
              </w:rPr>
              <w:t>2</w:t>
            </w:r>
            <w:r>
              <w:rPr>
                <w:rFonts w:hint="default" w:cs="宋体"/>
                <w:szCs w:val="21"/>
              </w:rPr>
              <w:t>.</w:t>
            </w:r>
            <w:r>
              <w:rPr>
                <w:rFonts w:hint="eastAsia" w:cs="宋体"/>
                <w:szCs w:val="21"/>
              </w:rPr>
              <w:t>公布唱标单。</w:t>
            </w:r>
          </w:p>
          <w:p w14:paraId="5BAEC712">
            <w:pPr>
              <w:keepNext w:val="0"/>
              <w:keepLines w:val="0"/>
              <w:suppressLineNumbers w:val="0"/>
              <w:spacing w:before="0" w:beforeAutospacing="0" w:after="0" w:afterAutospacing="0"/>
              <w:ind w:left="0" w:right="0"/>
              <w:rPr>
                <w:rFonts w:hint="default" w:cs="宋体"/>
                <w:szCs w:val="21"/>
              </w:rPr>
            </w:pPr>
            <w:r>
              <w:rPr>
                <w:rFonts w:hint="eastAsia" w:cs="宋体"/>
                <w:szCs w:val="21"/>
              </w:rPr>
              <w:t>3</w:t>
            </w:r>
            <w:r>
              <w:rPr>
                <w:rFonts w:hint="default" w:cs="宋体"/>
                <w:szCs w:val="21"/>
              </w:rPr>
              <w:t>.</w:t>
            </w:r>
            <w:r>
              <w:rPr>
                <w:rFonts w:hint="eastAsia" w:cs="宋体"/>
                <w:szCs w:val="21"/>
              </w:rPr>
              <w:t>由投标人确认开标记录。</w:t>
            </w:r>
          </w:p>
          <w:p w14:paraId="3E68BDBA">
            <w:pPr>
              <w:keepNext w:val="0"/>
              <w:keepLines w:val="0"/>
              <w:suppressLineNumbers w:val="0"/>
              <w:spacing w:before="0" w:beforeAutospacing="0" w:after="0" w:afterAutospacing="0"/>
              <w:ind w:left="0" w:right="0"/>
              <w:rPr>
                <w:rFonts w:hint="default"/>
              </w:rPr>
            </w:pPr>
            <w:r>
              <w:rPr>
                <w:rFonts w:hint="eastAsia" w:cs="宋体"/>
                <w:szCs w:val="21"/>
              </w:rPr>
              <w:t>4</w:t>
            </w:r>
            <w:r>
              <w:rPr>
                <w:rFonts w:hint="default" w:cs="宋体"/>
                <w:szCs w:val="21"/>
              </w:rPr>
              <w:t>.</w:t>
            </w:r>
            <w:r>
              <w:rPr>
                <w:rFonts w:hint="eastAsia" w:cs="宋体"/>
                <w:szCs w:val="21"/>
              </w:rPr>
              <w:t>开标会议结束。</w:t>
            </w:r>
          </w:p>
        </w:tc>
      </w:tr>
      <w:tr w14:paraId="60C41B62">
        <w:tblPrEx>
          <w:tblCellMar>
            <w:top w:w="0" w:type="dxa"/>
            <w:left w:w="108" w:type="dxa"/>
            <w:bottom w:w="0" w:type="dxa"/>
            <w:right w:w="108" w:type="dxa"/>
          </w:tblCellMar>
        </w:tblPrEx>
        <w:trPr>
          <w:trHeight w:val="558"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47C87312">
            <w:pPr>
              <w:keepNext w:val="0"/>
              <w:keepLines w:val="0"/>
              <w:suppressLineNumbers w:val="0"/>
              <w:spacing w:before="0" w:beforeAutospacing="0" w:after="0" w:afterAutospacing="0"/>
              <w:ind w:left="0" w:right="0"/>
              <w:jc w:val="center"/>
              <w:rPr>
                <w:rFonts w:hint="default"/>
                <w:szCs w:val="21"/>
              </w:rPr>
            </w:pPr>
            <w:r>
              <w:rPr>
                <w:rFonts w:hint="default"/>
                <w:szCs w:val="21"/>
                <w:woUserID w:val="2"/>
              </w:rPr>
              <w:t>5.1.3</w:t>
            </w:r>
          </w:p>
        </w:tc>
        <w:tc>
          <w:tcPr>
            <w:tcW w:w="1275" w:type="pct"/>
            <w:tcBorders>
              <w:top w:val="single" w:color="auto" w:sz="4" w:space="0"/>
              <w:left w:val="single" w:color="auto" w:sz="4" w:space="0"/>
              <w:bottom w:val="single" w:color="auto" w:sz="4" w:space="0"/>
              <w:right w:val="single" w:color="auto" w:sz="4" w:space="0"/>
            </w:tcBorders>
            <w:vAlign w:val="center"/>
          </w:tcPr>
          <w:p w14:paraId="1FD05E47">
            <w:pPr>
              <w:keepNext w:val="0"/>
              <w:keepLines w:val="0"/>
              <w:suppressLineNumbers w:val="0"/>
              <w:spacing w:before="0" w:beforeAutospacing="0" w:after="0" w:afterAutospacing="0"/>
              <w:ind w:left="0" w:right="0"/>
              <w:jc w:val="left"/>
              <w:rPr>
                <w:rFonts w:hint="default"/>
                <w:szCs w:val="21"/>
              </w:rPr>
            </w:pPr>
            <w:r>
              <w:rPr>
                <w:rFonts w:hint="eastAsia"/>
                <w:szCs w:val="21"/>
              </w:rPr>
              <w:t>评标委员会的组建</w:t>
            </w:r>
          </w:p>
        </w:tc>
        <w:tc>
          <w:tcPr>
            <w:tcW w:w="3265" w:type="pct"/>
            <w:tcBorders>
              <w:top w:val="single" w:color="auto" w:sz="4" w:space="0"/>
              <w:left w:val="single" w:color="auto" w:sz="4" w:space="0"/>
              <w:bottom w:val="single" w:color="auto" w:sz="4" w:space="0"/>
              <w:right w:val="single" w:color="auto" w:sz="4" w:space="0"/>
            </w:tcBorders>
            <w:vAlign w:val="center"/>
          </w:tcPr>
          <w:p w14:paraId="6B927652">
            <w:pPr>
              <w:keepNext w:val="0"/>
              <w:keepLines w:val="0"/>
              <w:suppressLineNumbers w:val="0"/>
              <w:spacing w:before="0" w:beforeAutospacing="0" w:after="0" w:afterAutospacing="0"/>
              <w:ind w:left="0" w:right="0"/>
              <w:jc w:val="left"/>
              <w:rPr>
                <w:rFonts w:hint="default"/>
                <w:szCs w:val="21"/>
              </w:rPr>
            </w:pPr>
            <w:r>
              <w:rPr>
                <w:rFonts w:hint="default"/>
                <w:szCs w:val="21"/>
              </w:rPr>
              <w:t>评标委员会</w:t>
            </w:r>
            <w:r>
              <w:rPr>
                <w:rFonts w:hint="eastAsia"/>
                <w:szCs w:val="21"/>
              </w:rPr>
              <w:t>构成：</w:t>
            </w:r>
            <w:r>
              <w:rPr>
                <w:rFonts w:hint="default"/>
                <w:szCs w:val="21"/>
                <w:woUserID w:val="2"/>
              </w:rPr>
              <w:t>5</w:t>
            </w:r>
            <w:r>
              <w:rPr>
                <w:rFonts w:hint="eastAsia"/>
                <w:szCs w:val="21"/>
              </w:rPr>
              <w:t>人</w:t>
            </w:r>
            <w:r>
              <w:rPr>
                <w:rFonts w:hint="eastAsia"/>
                <w:szCs w:val="21"/>
                <w:lang w:eastAsia="zh-CN"/>
              </w:rPr>
              <w:t>，</w:t>
            </w:r>
            <w:r>
              <w:rPr>
                <w:rFonts w:hint="eastAsia"/>
                <w:szCs w:val="21"/>
              </w:rPr>
              <w:t>其中专家</w:t>
            </w:r>
            <w:r>
              <w:rPr>
                <w:rFonts w:hint="eastAsia"/>
                <w:szCs w:val="21"/>
                <w:lang w:val="en-US" w:eastAsia="zh-CN"/>
                <w:woUserID w:val="2"/>
              </w:rPr>
              <w:t>5</w:t>
            </w:r>
            <w:r>
              <w:rPr>
                <w:rFonts w:hint="eastAsia"/>
                <w:szCs w:val="21"/>
              </w:rPr>
              <w:t>人；</w:t>
            </w:r>
          </w:p>
        </w:tc>
      </w:tr>
      <w:tr w14:paraId="612B7120">
        <w:tblPrEx>
          <w:tblCellMar>
            <w:top w:w="0" w:type="dxa"/>
            <w:left w:w="108" w:type="dxa"/>
            <w:bottom w:w="0" w:type="dxa"/>
            <w:right w:w="108" w:type="dxa"/>
          </w:tblCellMar>
        </w:tblPrEx>
        <w:trPr>
          <w:trHeight w:val="880"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0992029E">
            <w:pPr>
              <w:keepNext w:val="0"/>
              <w:keepLines w:val="0"/>
              <w:suppressLineNumbers w:val="0"/>
              <w:spacing w:before="0" w:beforeAutospacing="0" w:after="0" w:afterAutospacing="0"/>
              <w:ind w:left="0" w:right="0"/>
              <w:jc w:val="center"/>
              <w:rPr>
                <w:rFonts w:hint="default"/>
                <w:szCs w:val="21"/>
                <w:woUserID w:val="2"/>
              </w:rPr>
            </w:pPr>
            <w:r>
              <w:rPr>
                <w:rFonts w:hint="default"/>
                <w:szCs w:val="21"/>
                <w:woUserID w:val="2"/>
              </w:rPr>
              <w:t>6</w:t>
            </w:r>
            <w:r>
              <w:rPr>
                <w:rFonts w:hint="default"/>
                <w:szCs w:val="21"/>
              </w:rPr>
              <w:t>.1</w:t>
            </w:r>
            <w:r>
              <w:rPr>
                <w:rFonts w:hint="default"/>
                <w:szCs w:val="21"/>
                <w:woUserID w:val="2"/>
              </w:rPr>
              <w:t>.1</w:t>
            </w:r>
          </w:p>
        </w:tc>
        <w:tc>
          <w:tcPr>
            <w:tcW w:w="1275" w:type="pct"/>
            <w:tcBorders>
              <w:top w:val="single" w:color="auto" w:sz="4" w:space="0"/>
              <w:left w:val="single" w:color="auto" w:sz="4" w:space="0"/>
              <w:bottom w:val="single" w:color="auto" w:sz="4" w:space="0"/>
              <w:right w:val="single" w:color="auto" w:sz="4" w:space="0"/>
            </w:tcBorders>
            <w:vAlign w:val="center"/>
          </w:tcPr>
          <w:p w14:paraId="0DE86506">
            <w:pPr>
              <w:keepNext w:val="0"/>
              <w:keepLines w:val="0"/>
              <w:suppressLineNumbers w:val="0"/>
              <w:spacing w:before="0" w:beforeAutospacing="0" w:after="0" w:afterAutospacing="0"/>
              <w:ind w:left="0" w:right="0"/>
              <w:jc w:val="left"/>
              <w:rPr>
                <w:rFonts w:hint="default"/>
                <w:szCs w:val="21"/>
              </w:rPr>
            </w:pPr>
            <w:r>
              <w:rPr>
                <w:rFonts w:hint="eastAsia"/>
                <w:szCs w:val="21"/>
              </w:rPr>
              <w:t>是否授权评标委员会确定中标人</w:t>
            </w:r>
          </w:p>
        </w:tc>
        <w:tc>
          <w:tcPr>
            <w:tcW w:w="3265" w:type="pct"/>
            <w:tcBorders>
              <w:top w:val="single" w:color="auto" w:sz="4" w:space="0"/>
              <w:left w:val="single" w:color="auto" w:sz="4" w:space="0"/>
              <w:bottom w:val="single" w:color="auto" w:sz="4" w:space="0"/>
              <w:right w:val="single" w:color="auto" w:sz="4" w:space="0"/>
            </w:tcBorders>
            <w:vAlign w:val="center"/>
          </w:tcPr>
          <w:p w14:paraId="0779388C">
            <w:pPr>
              <w:keepNext w:val="0"/>
              <w:keepLines w:val="0"/>
              <w:suppressLineNumbers w:val="0"/>
              <w:spacing w:before="0" w:beforeAutospacing="0" w:after="0" w:afterAutospacing="0"/>
              <w:ind w:left="0" w:right="0"/>
              <w:jc w:val="left"/>
              <w:rPr>
                <w:rFonts w:hint="default"/>
                <w:szCs w:val="21"/>
              </w:rPr>
            </w:pPr>
            <w:r>
              <w:rPr>
                <w:rFonts w:hint="default"/>
                <w:szCs w:val="21"/>
              </w:rPr>
              <w:t>否</w:t>
            </w:r>
            <w:r>
              <w:rPr>
                <w:rFonts w:hint="eastAsia"/>
                <w:szCs w:val="21"/>
              </w:rPr>
              <w:t>，</w:t>
            </w:r>
            <w:r>
              <w:rPr>
                <w:rFonts w:hint="default"/>
                <w:szCs w:val="21"/>
              </w:rPr>
              <w:t>推荐的中标候选人数</w:t>
            </w:r>
            <w:r>
              <w:rPr>
                <w:rFonts w:hint="eastAsia"/>
                <w:szCs w:val="21"/>
              </w:rPr>
              <w:t>：有效投标人为3家时，推荐2名中标候选人，有效投标人超过3家时，推荐3名中标候选人，并标明排序。</w:t>
            </w:r>
          </w:p>
        </w:tc>
      </w:tr>
      <w:tr w14:paraId="5BE830A2">
        <w:tblPrEx>
          <w:tblCellMar>
            <w:top w:w="0" w:type="dxa"/>
            <w:left w:w="108" w:type="dxa"/>
            <w:bottom w:w="0" w:type="dxa"/>
            <w:right w:w="108" w:type="dxa"/>
          </w:tblCellMar>
        </w:tblPrEx>
        <w:trPr>
          <w:trHeight w:val="880" w:hRule="atLeast"/>
          <w:jc w:val="center"/>
        </w:trPr>
        <w:tc>
          <w:tcPr>
            <w:tcW w:w="458" w:type="pct"/>
            <w:tcBorders>
              <w:top w:val="single" w:color="auto" w:sz="4" w:space="0"/>
              <w:left w:val="single" w:color="auto" w:sz="4" w:space="0"/>
              <w:right w:val="single" w:color="auto" w:sz="4" w:space="0"/>
            </w:tcBorders>
            <w:vAlign w:val="center"/>
          </w:tcPr>
          <w:p w14:paraId="0551DD1E">
            <w:pPr>
              <w:keepNext w:val="0"/>
              <w:keepLines w:val="0"/>
              <w:suppressLineNumbers w:val="0"/>
              <w:spacing w:before="0" w:beforeAutospacing="0" w:after="0" w:afterAutospacing="0"/>
              <w:ind w:left="0" w:right="0"/>
              <w:jc w:val="center"/>
              <w:rPr>
                <w:rFonts w:hint="default"/>
                <w:szCs w:val="21"/>
              </w:rPr>
            </w:pPr>
            <w:r>
              <w:rPr>
                <w:rFonts w:hint="default"/>
                <w:szCs w:val="21"/>
                <w:woUserID w:val="2"/>
              </w:rPr>
              <w:t>6</w:t>
            </w:r>
            <w:r>
              <w:rPr>
                <w:rFonts w:hint="eastAsia"/>
                <w:szCs w:val="21"/>
              </w:rPr>
              <w:t>.</w:t>
            </w:r>
            <w:r>
              <w:rPr>
                <w:rFonts w:hint="default"/>
                <w:szCs w:val="21"/>
                <w:woUserID w:val="2"/>
              </w:rPr>
              <w:t>1.</w:t>
            </w:r>
            <w:r>
              <w:rPr>
                <w:rFonts w:hint="eastAsia"/>
                <w:szCs w:val="21"/>
              </w:rPr>
              <w:t>2</w:t>
            </w:r>
          </w:p>
        </w:tc>
        <w:tc>
          <w:tcPr>
            <w:tcW w:w="1275" w:type="pct"/>
            <w:tcBorders>
              <w:top w:val="single" w:color="auto" w:sz="4" w:space="0"/>
              <w:left w:val="single" w:color="auto" w:sz="4" w:space="0"/>
              <w:right w:val="single" w:color="auto" w:sz="4" w:space="0"/>
            </w:tcBorders>
            <w:vAlign w:val="center"/>
          </w:tcPr>
          <w:p w14:paraId="16392E00">
            <w:pPr>
              <w:keepNext w:val="0"/>
              <w:keepLines w:val="0"/>
              <w:suppressLineNumbers w:val="0"/>
              <w:spacing w:before="0" w:beforeAutospacing="0" w:after="0" w:afterAutospacing="0"/>
              <w:ind w:left="0" w:right="0"/>
              <w:jc w:val="left"/>
              <w:rPr>
                <w:rFonts w:hint="default"/>
                <w:szCs w:val="21"/>
              </w:rPr>
            </w:pPr>
            <w:r>
              <w:rPr>
                <w:rFonts w:hint="eastAsia"/>
                <w:szCs w:val="21"/>
              </w:rPr>
              <w:t>中标候选人公示媒介</w:t>
            </w:r>
          </w:p>
        </w:tc>
        <w:tc>
          <w:tcPr>
            <w:tcW w:w="3265" w:type="pct"/>
            <w:tcBorders>
              <w:top w:val="single" w:color="auto" w:sz="4" w:space="0"/>
              <w:left w:val="single" w:color="auto" w:sz="4" w:space="0"/>
              <w:right w:val="single" w:color="auto" w:sz="4" w:space="0"/>
            </w:tcBorders>
            <w:vAlign w:val="center"/>
          </w:tcPr>
          <w:p w14:paraId="3DDE3F45">
            <w:pPr>
              <w:keepNext w:val="0"/>
              <w:keepLines w:val="0"/>
              <w:suppressLineNumbers w:val="0"/>
              <w:spacing w:before="0" w:beforeAutospacing="0" w:after="0" w:afterAutospacing="0"/>
              <w:ind w:left="0" w:right="0"/>
              <w:jc w:val="left"/>
              <w:rPr>
                <w:rFonts w:hint="default"/>
                <w:szCs w:val="21"/>
              </w:rPr>
            </w:pPr>
            <w:r>
              <w:rPr>
                <w:rFonts w:hint="eastAsia"/>
                <w:szCs w:val="21"/>
              </w:rPr>
              <w:t>同</w:t>
            </w:r>
            <w:r>
              <w:rPr>
                <w:rFonts w:hint="default"/>
                <w:szCs w:val="21"/>
              </w:rPr>
              <w:t>招标公告发布媒介</w:t>
            </w:r>
            <w:r>
              <w:rPr>
                <w:rFonts w:hint="eastAsia"/>
                <w:szCs w:val="21"/>
              </w:rPr>
              <w:t>，</w:t>
            </w:r>
            <w:r>
              <w:rPr>
                <w:rFonts w:hint="default"/>
                <w:szCs w:val="21"/>
              </w:rPr>
              <w:t>公示期三</w:t>
            </w:r>
            <w:r>
              <w:rPr>
                <w:rFonts w:hint="eastAsia"/>
                <w:szCs w:val="21"/>
              </w:rPr>
              <w:t>个</w:t>
            </w:r>
            <w:r>
              <w:rPr>
                <w:rFonts w:hint="default"/>
                <w:szCs w:val="21"/>
              </w:rPr>
              <w:t>工作日。</w:t>
            </w:r>
          </w:p>
        </w:tc>
      </w:tr>
      <w:tr w14:paraId="7A334227">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492AD41A">
            <w:pPr>
              <w:keepNext w:val="0"/>
              <w:keepLines w:val="0"/>
              <w:suppressLineNumbers w:val="0"/>
              <w:spacing w:before="0" w:beforeAutospacing="0" w:after="0" w:afterAutospacing="0"/>
              <w:ind w:left="0" w:right="0"/>
              <w:jc w:val="center"/>
              <w:rPr>
                <w:rFonts w:hint="default"/>
                <w:szCs w:val="21"/>
              </w:rPr>
            </w:pPr>
            <w:r>
              <w:rPr>
                <w:rFonts w:hint="default"/>
                <w:szCs w:val="21"/>
                <w:woUserID w:val="2"/>
              </w:rPr>
              <w:t>6</w:t>
            </w:r>
            <w:r>
              <w:rPr>
                <w:rFonts w:hint="default"/>
                <w:szCs w:val="21"/>
              </w:rPr>
              <w:t>.</w:t>
            </w:r>
            <w:r>
              <w:rPr>
                <w:rFonts w:hint="default"/>
                <w:szCs w:val="21"/>
                <w:woUserID w:val="2"/>
              </w:rPr>
              <w:t>1</w:t>
            </w:r>
            <w:r>
              <w:rPr>
                <w:rFonts w:hint="default"/>
                <w:szCs w:val="21"/>
              </w:rPr>
              <w:t>.</w:t>
            </w:r>
            <w:r>
              <w:rPr>
                <w:rFonts w:hint="default"/>
                <w:szCs w:val="21"/>
                <w:woUserID w:val="2"/>
              </w:rPr>
              <w:t>3</w:t>
            </w:r>
          </w:p>
        </w:tc>
        <w:tc>
          <w:tcPr>
            <w:tcW w:w="1275" w:type="pct"/>
            <w:tcBorders>
              <w:top w:val="single" w:color="auto" w:sz="4" w:space="0"/>
              <w:left w:val="single" w:color="auto" w:sz="4" w:space="0"/>
              <w:bottom w:val="single" w:color="auto" w:sz="4" w:space="0"/>
              <w:right w:val="single" w:color="auto" w:sz="4" w:space="0"/>
            </w:tcBorders>
            <w:vAlign w:val="center"/>
          </w:tcPr>
          <w:p w14:paraId="43248F94">
            <w:pPr>
              <w:keepNext w:val="0"/>
              <w:keepLines w:val="0"/>
              <w:suppressLineNumbers w:val="0"/>
              <w:spacing w:before="0" w:beforeAutospacing="0" w:after="0" w:afterAutospacing="0"/>
              <w:ind w:left="0" w:right="0"/>
              <w:jc w:val="left"/>
              <w:rPr>
                <w:rFonts w:hint="default"/>
                <w:szCs w:val="21"/>
              </w:rPr>
            </w:pPr>
            <w:r>
              <w:rPr>
                <w:rFonts w:hint="default"/>
                <w:szCs w:val="21"/>
              </w:rPr>
              <w:t>履约担保</w:t>
            </w:r>
          </w:p>
        </w:tc>
        <w:tc>
          <w:tcPr>
            <w:tcW w:w="3265" w:type="pct"/>
            <w:tcBorders>
              <w:top w:val="single" w:color="auto" w:sz="4" w:space="0"/>
              <w:left w:val="single" w:color="auto" w:sz="4" w:space="0"/>
              <w:bottom w:val="single" w:color="auto" w:sz="4" w:space="0"/>
              <w:right w:val="single" w:color="auto" w:sz="4" w:space="0"/>
            </w:tcBorders>
            <w:vAlign w:val="center"/>
          </w:tcPr>
          <w:p w14:paraId="141C1B1E">
            <w:pPr>
              <w:keepNext w:val="0"/>
              <w:keepLines w:val="0"/>
              <w:suppressLineNumbers w:val="0"/>
              <w:spacing w:before="0" w:beforeAutospacing="0" w:after="0" w:afterAutospacing="0"/>
              <w:ind w:left="0" w:right="0"/>
              <w:jc w:val="left"/>
              <w:rPr>
                <w:rFonts w:hint="eastAsia" w:eastAsia="宋体"/>
                <w:szCs w:val="21"/>
                <w:lang w:val="en-US" w:eastAsia="zh-CN"/>
              </w:rPr>
            </w:pPr>
            <w:r>
              <w:rPr>
                <w:rFonts w:hint="eastAsia"/>
                <w:szCs w:val="21"/>
                <w:lang w:val="en-US" w:eastAsia="zh-CN"/>
              </w:rPr>
              <w:t>无</w:t>
            </w:r>
          </w:p>
        </w:tc>
      </w:tr>
      <w:tr w14:paraId="1051A269">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548FE12F">
            <w:pPr>
              <w:keepNext w:val="0"/>
              <w:keepLines w:val="0"/>
              <w:suppressLineNumbers w:val="0"/>
              <w:spacing w:before="0" w:beforeAutospacing="0" w:after="0" w:afterAutospacing="0"/>
              <w:ind w:left="0" w:leftChars="0" w:right="0" w:firstLine="0" w:firstLineChars="0"/>
              <w:jc w:val="center"/>
              <w:rPr>
                <w:rFonts w:hint="default"/>
                <w:szCs w:val="21"/>
                <w:woUserID w:val="2"/>
              </w:rPr>
            </w:pPr>
            <w:r>
              <w:rPr>
                <w:rFonts w:hint="default"/>
                <w:szCs w:val="21"/>
                <w:woUserID w:val="2"/>
              </w:rPr>
              <w:t>6.1.4</w:t>
            </w:r>
          </w:p>
        </w:tc>
        <w:tc>
          <w:tcPr>
            <w:tcW w:w="1275" w:type="pct"/>
            <w:tcBorders>
              <w:top w:val="single" w:color="auto" w:sz="4" w:space="0"/>
              <w:left w:val="single" w:color="auto" w:sz="4" w:space="0"/>
              <w:bottom w:val="single" w:color="auto" w:sz="4" w:space="0"/>
              <w:right w:val="single" w:color="auto" w:sz="4" w:space="0"/>
            </w:tcBorders>
            <w:vAlign w:val="center"/>
          </w:tcPr>
          <w:p w14:paraId="57C470DE">
            <w:pPr>
              <w:keepNext w:val="0"/>
              <w:keepLines w:val="0"/>
              <w:suppressLineNumbers w:val="0"/>
              <w:spacing w:before="0" w:beforeAutospacing="0" w:after="0" w:afterAutospacing="0"/>
              <w:ind w:left="0" w:leftChars="0" w:right="0" w:firstLine="0" w:firstLineChars="0"/>
              <w:jc w:val="left"/>
              <w:rPr>
                <w:rFonts w:hint="default"/>
                <w:szCs w:val="21"/>
                <w:woUserID w:val="2"/>
              </w:rPr>
            </w:pPr>
            <w:r>
              <w:rPr>
                <w:rFonts w:hint="default"/>
                <w:szCs w:val="21"/>
                <w:woUserID w:val="2"/>
              </w:rPr>
              <w:t>评标办法</w:t>
            </w:r>
          </w:p>
        </w:tc>
        <w:tc>
          <w:tcPr>
            <w:tcW w:w="3265" w:type="pct"/>
            <w:tcBorders>
              <w:top w:val="single" w:color="auto" w:sz="4" w:space="0"/>
              <w:left w:val="single" w:color="auto" w:sz="4" w:space="0"/>
              <w:bottom w:val="single" w:color="auto" w:sz="4" w:space="0"/>
              <w:right w:val="single" w:color="auto" w:sz="4" w:space="0"/>
            </w:tcBorders>
            <w:vAlign w:val="center"/>
          </w:tcPr>
          <w:p w14:paraId="12679EF5">
            <w:pPr>
              <w:keepNext w:val="0"/>
              <w:keepLines w:val="0"/>
              <w:suppressLineNumbers w:val="0"/>
              <w:spacing w:before="0" w:beforeAutospacing="0" w:after="0" w:afterAutospacing="0"/>
              <w:ind w:left="0" w:leftChars="0" w:right="0" w:firstLine="0" w:firstLineChars="0"/>
              <w:jc w:val="left"/>
              <w:rPr>
                <w:rFonts w:hint="default"/>
                <w:strike/>
                <w:szCs w:val="21"/>
              </w:rPr>
            </w:pPr>
            <w:bookmarkStart w:id="67" w:name="OLE_LINK1"/>
            <w:bookmarkStart w:id="68" w:name="OLE_LINK3"/>
            <w:bookmarkStart w:id="69" w:name="OLE_LINK2"/>
            <w:r>
              <w:rPr>
                <w:rFonts w:hint="eastAsia" w:ascii="宋体" w:hAnsi="宋体" w:eastAsia="宋体" w:cs="宋体"/>
                <w:kern w:val="2"/>
                <w:sz w:val="21"/>
                <w:szCs w:val="21"/>
                <w:lang w:val="en-US" w:eastAsia="zh-CN" w:bidi="ar"/>
                <w:woUserID w:val="2"/>
              </w:rPr>
              <w:t>经评审的最低投标价法</w:t>
            </w:r>
            <w:bookmarkEnd w:id="67"/>
            <w:bookmarkEnd w:id="68"/>
            <w:bookmarkEnd w:id="69"/>
          </w:p>
        </w:tc>
      </w:tr>
      <w:tr w14:paraId="01D152B6">
        <w:tblPrEx>
          <w:tblCellMar>
            <w:top w:w="0" w:type="dxa"/>
            <w:left w:w="108" w:type="dxa"/>
            <w:bottom w:w="0" w:type="dxa"/>
            <w:right w:w="108" w:type="dxa"/>
          </w:tblCellMar>
        </w:tblPrEx>
        <w:trPr>
          <w:jc w:val="center"/>
        </w:trPr>
        <w:tc>
          <w:tcPr>
            <w:tcW w:w="458" w:type="pct"/>
            <w:tcBorders>
              <w:top w:val="single" w:color="auto" w:sz="4" w:space="0"/>
              <w:left w:val="single" w:color="auto" w:sz="4" w:space="0"/>
              <w:bottom w:val="single" w:color="auto" w:sz="4" w:space="0"/>
              <w:right w:val="single" w:color="auto" w:sz="4" w:space="0"/>
            </w:tcBorders>
            <w:vAlign w:val="center"/>
          </w:tcPr>
          <w:p w14:paraId="3CE860B4">
            <w:pPr>
              <w:keepNext w:val="0"/>
              <w:keepLines w:val="0"/>
              <w:suppressLineNumbers w:val="0"/>
              <w:spacing w:before="0" w:beforeAutospacing="0" w:after="0" w:afterAutospacing="0"/>
              <w:ind w:left="0" w:right="0"/>
              <w:jc w:val="center"/>
              <w:rPr>
                <w:rFonts w:hint="default"/>
                <w:b/>
                <w:szCs w:val="21"/>
              </w:rPr>
            </w:pPr>
            <w:r>
              <w:rPr>
                <w:rFonts w:hint="default"/>
                <w:b/>
                <w:szCs w:val="21"/>
              </w:rPr>
              <w:t>10</w:t>
            </w:r>
          </w:p>
        </w:tc>
        <w:tc>
          <w:tcPr>
            <w:tcW w:w="4541" w:type="pct"/>
            <w:gridSpan w:val="2"/>
            <w:tcBorders>
              <w:top w:val="single" w:color="auto" w:sz="4" w:space="0"/>
              <w:left w:val="single" w:color="auto" w:sz="4" w:space="0"/>
              <w:bottom w:val="single" w:color="auto" w:sz="4" w:space="0"/>
              <w:right w:val="single" w:color="auto" w:sz="4" w:space="0"/>
            </w:tcBorders>
            <w:vAlign w:val="center"/>
          </w:tcPr>
          <w:p w14:paraId="70842BA1">
            <w:pPr>
              <w:keepNext w:val="0"/>
              <w:keepLines w:val="0"/>
              <w:suppressLineNumbers w:val="0"/>
              <w:spacing w:before="0" w:beforeAutospacing="0" w:after="0" w:afterAutospacing="0"/>
              <w:ind w:left="0" w:right="0"/>
              <w:jc w:val="left"/>
              <w:rPr>
                <w:rFonts w:hint="default"/>
                <w:b/>
                <w:szCs w:val="21"/>
              </w:rPr>
            </w:pPr>
            <w:r>
              <w:rPr>
                <w:rFonts w:hint="eastAsia"/>
                <w:b/>
                <w:szCs w:val="21"/>
              </w:rPr>
              <w:t>需要</w:t>
            </w:r>
            <w:r>
              <w:rPr>
                <w:rFonts w:hint="default"/>
                <w:b/>
                <w:szCs w:val="21"/>
              </w:rPr>
              <w:t>补充</w:t>
            </w:r>
            <w:r>
              <w:rPr>
                <w:rFonts w:hint="eastAsia"/>
                <w:b/>
                <w:szCs w:val="21"/>
              </w:rPr>
              <w:t>的其他</w:t>
            </w:r>
            <w:r>
              <w:rPr>
                <w:rFonts w:hint="default"/>
                <w:b/>
                <w:szCs w:val="21"/>
              </w:rPr>
              <w:t>内容</w:t>
            </w:r>
          </w:p>
        </w:tc>
      </w:tr>
    </w:tbl>
    <w:p w14:paraId="6DE546BA">
      <w:pPr>
        <w:pStyle w:val="3"/>
        <w:ind w:left="426"/>
      </w:pPr>
      <w:bookmarkStart w:id="70" w:name="_Toc152045529"/>
      <w:bookmarkStart w:id="71" w:name="_Toc247527553"/>
      <w:bookmarkStart w:id="72" w:name="_Toc247513952"/>
      <w:bookmarkStart w:id="73" w:name="_Toc144974497"/>
      <w:bookmarkStart w:id="74" w:name="_Toc152042305"/>
      <w:r>
        <w:br w:type="page"/>
      </w:r>
      <w:bookmarkStart w:id="75" w:name="_Toc98503855"/>
      <w:bookmarkStart w:id="76" w:name="_Toc115196024"/>
      <w:r>
        <w:rPr>
          <w:rFonts w:hint="eastAsia"/>
        </w:rPr>
        <w:t>1. 总则</w:t>
      </w:r>
      <w:bookmarkEnd w:id="70"/>
      <w:bookmarkEnd w:id="71"/>
      <w:bookmarkEnd w:id="72"/>
      <w:bookmarkEnd w:id="73"/>
      <w:bookmarkEnd w:id="74"/>
      <w:bookmarkEnd w:id="75"/>
      <w:bookmarkEnd w:id="76"/>
    </w:p>
    <w:p w14:paraId="76F59D1F">
      <w:pPr>
        <w:pStyle w:val="4"/>
        <w:spacing w:before="0" w:after="0" w:line="360" w:lineRule="auto"/>
        <w:ind w:firstLine="424" w:firstLineChars="202"/>
        <w:rPr>
          <w:rFonts w:ascii="Times New Roman" w:hAnsi="Times New Roman" w:eastAsia="宋体"/>
          <w:bCs w:val="0"/>
          <w:sz w:val="21"/>
          <w:szCs w:val="24"/>
        </w:rPr>
      </w:pPr>
      <w:bookmarkStart w:id="77" w:name="_Toc98503856"/>
      <w:bookmarkStart w:id="78" w:name="_Toc144974498"/>
      <w:bookmarkStart w:id="79" w:name="_Toc247513953"/>
      <w:bookmarkStart w:id="80" w:name="_Toc247527554"/>
      <w:bookmarkStart w:id="81" w:name="_Toc152045530"/>
      <w:bookmarkStart w:id="82" w:name="_Toc152042306"/>
      <w:r>
        <w:rPr>
          <w:rFonts w:hint="eastAsia" w:ascii="Times New Roman" w:hAnsi="Times New Roman" w:eastAsia="宋体"/>
          <w:bCs w:val="0"/>
          <w:sz w:val="21"/>
          <w:szCs w:val="24"/>
        </w:rPr>
        <w:t>1.1 项目概况</w:t>
      </w:r>
      <w:bookmarkEnd w:id="77"/>
      <w:bookmarkEnd w:id="78"/>
      <w:bookmarkEnd w:id="79"/>
      <w:bookmarkEnd w:id="80"/>
      <w:bookmarkEnd w:id="81"/>
      <w:bookmarkEnd w:id="82"/>
    </w:p>
    <w:p w14:paraId="1CC6F5BA">
      <w:pPr>
        <w:ind w:firstLine="420" w:firstLineChars="200"/>
      </w:pPr>
      <w:r>
        <w:rPr>
          <w:rFonts w:hint="eastAsia"/>
        </w:rPr>
        <w:t>1.1.1根据《中华人民共和国招标投标法》等有关法律、法规和规章的规定，本招标项目已具备招标条件，现对该项目进行工程（EPC）总承包招标。</w:t>
      </w:r>
    </w:p>
    <w:p w14:paraId="1E966827">
      <w:pPr>
        <w:ind w:firstLine="420" w:firstLineChars="200"/>
      </w:pPr>
      <w:r>
        <w:rPr>
          <w:rFonts w:hint="eastAsia"/>
        </w:rPr>
        <w:t>1.1.2 招标人：见投标人须知前附表。</w:t>
      </w:r>
    </w:p>
    <w:p w14:paraId="526A8E63">
      <w:pPr>
        <w:ind w:firstLine="420" w:firstLineChars="200"/>
      </w:pPr>
      <w:r>
        <w:rPr>
          <w:rFonts w:hint="eastAsia"/>
        </w:rPr>
        <w:t>1.1.3 招标代理机构：见投标人须知前附表。</w:t>
      </w:r>
    </w:p>
    <w:p w14:paraId="51A26E7B">
      <w:pPr>
        <w:ind w:firstLine="420" w:firstLineChars="200"/>
      </w:pPr>
      <w:r>
        <w:rPr>
          <w:rFonts w:hint="eastAsia"/>
        </w:rPr>
        <w:t>1.1.4 招标项目名称：见投标人须知前附表。</w:t>
      </w:r>
    </w:p>
    <w:p w14:paraId="743DA9CC">
      <w:pPr>
        <w:ind w:firstLine="420" w:firstLineChars="200"/>
      </w:pPr>
      <w:r>
        <w:rPr>
          <w:rFonts w:hint="eastAsia"/>
        </w:rPr>
        <w:t>1.1.5 项目建设地点：见投标人须知前附表。</w:t>
      </w:r>
    </w:p>
    <w:p w14:paraId="20DD3B22">
      <w:pPr>
        <w:pStyle w:val="4"/>
        <w:spacing w:before="0" w:after="0" w:line="360" w:lineRule="auto"/>
        <w:ind w:firstLine="424" w:firstLineChars="202"/>
        <w:rPr>
          <w:rFonts w:ascii="Times New Roman" w:hAnsi="Times New Roman" w:eastAsia="宋体"/>
          <w:bCs w:val="0"/>
          <w:sz w:val="21"/>
          <w:szCs w:val="24"/>
        </w:rPr>
      </w:pPr>
      <w:bookmarkStart w:id="83" w:name="_Toc98503857"/>
      <w:bookmarkStart w:id="84" w:name="_Toc152042307"/>
      <w:bookmarkStart w:id="85" w:name="_Toc247513954"/>
      <w:bookmarkStart w:id="86" w:name="_Toc247527555"/>
      <w:bookmarkStart w:id="87" w:name="_Toc152045531"/>
      <w:bookmarkStart w:id="88" w:name="_Toc144974499"/>
      <w:r>
        <w:rPr>
          <w:rFonts w:hint="eastAsia" w:ascii="Times New Roman" w:hAnsi="Times New Roman" w:eastAsia="宋体"/>
          <w:bCs w:val="0"/>
          <w:sz w:val="21"/>
          <w:szCs w:val="24"/>
        </w:rPr>
        <w:t>1.2 项目的资金来源和落实情况</w:t>
      </w:r>
      <w:bookmarkEnd w:id="83"/>
      <w:bookmarkEnd w:id="84"/>
      <w:bookmarkEnd w:id="85"/>
      <w:bookmarkEnd w:id="86"/>
      <w:bookmarkEnd w:id="87"/>
      <w:bookmarkEnd w:id="88"/>
    </w:p>
    <w:p w14:paraId="306FF82B">
      <w:pPr>
        <w:ind w:firstLine="420" w:firstLineChars="200"/>
      </w:pPr>
      <w:r>
        <w:rPr>
          <w:rFonts w:hint="eastAsia"/>
        </w:rPr>
        <w:t>1.2.1 资金来源及比例：见投标人须知前附表。</w:t>
      </w:r>
    </w:p>
    <w:p w14:paraId="2A1728AD">
      <w:pPr>
        <w:ind w:firstLine="420" w:firstLineChars="200"/>
      </w:pPr>
      <w:r>
        <w:rPr>
          <w:rFonts w:hint="eastAsia"/>
        </w:rPr>
        <w:t>1.2.2 资金落实情况：见投标人须知前附表。</w:t>
      </w:r>
    </w:p>
    <w:p w14:paraId="743488CC">
      <w:pPr>
        <w:pStyle w:val="4"/>
        <w:spacing w:before="0" w:after="0" w:line="360" w:lineRule="auto"/>
        <w:ind w:firstLine="424" w:firstLineChars="202"/>
        <w:rPr>
          <w:rFonts w:ascii="Times New Roman" w:hAnsi="Times New Roman" w:eastAsia="宋体"/>
          <w:bCs w:val="0"/>
          <w:sz w:val="21"/>
          <w:szCs w:val="24"/>
        </w:rPr>
      </w:pPr>
      <w:bookmarkStart w:id="89" w:name="_Toc152045532"/>
      <w:bookmarkStart w:id="90" w:name="_Toc152042308"/>
      <w:bookmarkStart w:id="91" w:name="_Toc144974500"/>
      <w:bookmarkStart w:id="92" w:name="_Toc247527556"/>
      <w:bookmarkStart w:id="93" w:name="_Toc247513955"/>
      <w:bookmarkStart w:id="94" w:name="_Toc98503858"/>
      <w:r>
        <w:rPr>
          <w:rFonts w:hint="eastAsia" w:ascii="Times New Roman" w:hAnsi="Times New Roman" w:eastAsia="宋体"/>
          <w:bCs w:val="0"/>
          <w:sz w:val="21"/>
          <w:szCs w:val="24"/>
        </w:rPr>
        <w:t>1.3 招标范围、计划工期和</w:t>
      </w:r>
      <w:bookmarkEnd w:id="89"/>
      <w:bookmarkEnd w:id="90"/>
      <w:bookmarkEnd w:id="91"/>
      <w:bookmarkEnd w:id="92"/>
      <w:bookmarkEnd w:id="93"/>
      <w:r>
        <w:rPr>
          <w:rFonts w:hint="eastAsia" w:ascii="Times New Roman" w:hAnsi="Times New Roman" w:eastAsia="宋体"/>
          <w:bCs w:val="0"/>
          <w:sz w:val="21"/>
          <w:szCs w:val="24"/>
        </w:rPr>
        <w:t>质量标准</w:t>
      </w:r>
      <w:bookmarkEnd w:id="94"/>
    </w:p>
    <w:p w14:paraId="6318B613">
      <w:pPr>
        <w:ind w:firstLine="420" w:firstLineChars="200"/>
      </w:pPr>
      <w:r>
        <w:rPr>
          <w:rFonts w:hint="eastAsia"/>
        </w:rPr>
        <w:t>1.3.1 招标范围：见投标人须知前附表。</w:t>
      </w:r>
    </w:p>
    <w:p w14:paraId="6D600B49">
      <w:pPr>
        <w:ind w:firstLine="420" w:firstLineChars="200"/>
      </w:pPr>
      <w:r>
        <w:rPr>
          <w:rFonts w:hint="eastAsia"/>
        </w:rPr>
        <w:t>1.3.2 计划工期：见投标人须知前附表。</w:t>
      </w:r>
    </w:p>
    <w:p w14:paraId="11CEB47A">
      <w:pPr>
        <w:ind w:firstLine="420" w:firstLineChars="200"/>
      </w:pPr>
      <w:r>
        <w:rPr>
          <w:rFonts w:hint="eastAsia"/>
        </w:rPr>
        <w:t>1.3.3 质量标准：见投标人须知前附表。</w:t>
      </w:r>
    </w:p>
    <w:p w14:paraId="66E6BDC7">
      <w:pPr>
        <w:pStyle w:val="4"/>
        <w:spacing w:before="0" w:after="0" w:line="360" w:lineRule="auto"/>
        <w:ind w:firstLine="424" w:firstLineChars="202"/>
        <w:rPr>
          <w:rFonts w:ascii="Times New Roman" w:hAnsi="Times New Roman" w:eastAsia="宋体"/>
          <w:bCs w:val="0"/>
          <w:sz w:val="21"/>
          <w:szCs w:val="24"/>
        </w:rPr>
      </w:pPr>
      <w:bookmarkStart w:id="95" w:name="_Toc152045534"/>
      <w:bookmarkStart w:id="96" w:name="_Toc247513957"/>
      <w:bookmarkStart w:id="97" w:name="_Toc98503859"/>
      <w:bookmarkStart w:id="98" w:name="_Toc144974502"/>
      <w:bookmarkStart w:id="99" w:name="_Toc152042310"/>
      <w:bookmarkStart w:id="100" w:name="_Toc247527558"/>
      <w:r>
        <w:rPr>
          <w:rFonts w:hint="eastAsia" w:ascii="Times New Roman" w:hAnsi="Times New Roman" w:eastAsia="宋体"/>
          <w:bCs w:val="0"/>
          <w:sz w:val="21"/>
          <w:szCs w:val="24"/>
        </w:rPr>
        <w:t>1.4 投标人资格要求</w:t>
      </w:r>
      <w:bookmarkEnd w:id="95"/>
      <w:bookmarkEnd w:id="96"/>
      <w:bookmarkEnd w:id="97"/>
      <w:bookmarkEnd w:id="98"/>
      <w:bookmarkEnd w:id="99"/>
      <w:bookmarkEnd w:id="100"/>
    </w:p>
    <w:p w14:paraId="4825A327">
      <w:pPr>
        <w:ind w:firstLine="420" w:firstLineChars="200"/>
      </w:pPr>
      <w:r>
        <w:rPr>
          <w:rFonts w:hint="eastAsia"/>
        </w:rPr>
        <w:t>1.4.1 投标人应具备承担本招标项目资质条件、能力和信誉。</w:t>
      </w:r>
    </w:p>
    <w:p w14:paraId="240D721A">
      <w:pPr>
        <w:ind w:firstLine="315" w:firstLineChars="150"/>
      </w:pPr>
      <w:r>
        <w:rPr>
          <w:rFonts w:hint="eastAsia"/>
        </w:rPr>
        <w:t>（1）资质要求：见投标人须知前附表；</w:t>
      </w:r>
    </w:p>
    <w:p w14:paraId="2CE8EECF">
      <w:pPr>
        <w:ind w:firstLine="315" w:firstLineChars="150"/>
      </w:pPr>
      <w:r>
        <w:rPr>
          <w:rFonts w:hint="eastAsia"/>
        </w:rPr>
        <w:t>（2）财务要求：见投标人须知前附表；</w:t>
      </w:r>
    </w:p>
    <w:p w14:paraId="725EE57C">
      <w:pPr>
        <w:ind w:firstLine="315" w:firstLineChars="150"/>
      </w:pPr>
      <w:r>
        <w:rPr>
          <w:rFonts w:hint="eastAsia"/>
        </w:rPr>
        <w:t>（3）业绩要求：见投标人须知前附表；</w:t>
      </w:r>
    </w:p>
    <w:p w14:paraId="5CF85EA9">
      <w:pPr>
        <w:ind w:firstLine="315" w:firstLineChars="150"/>
      </w:pPr>
      <w:r>
        <w:rPr>
          <w:rFonts w:hint="eastAsia"/>
        </w:rPr>
        <w:t>（4）信誉要求：见投标人须知前附表；</w:t>
      </w:r>
    </w:p>
    <w:p w14:paraId="7B686833">
      <w:pPr>
        <w:ind w:firstLine="315" w:firstLineChars="150"/>
      </w:pPr>
      <w:r>
        <w:rPr>
          <w:rFonts w:hint="eastAsia"/>
        </w:rPr>
        <w:t>（5）项目经理的资格要求：见投标人须知前附表；</w:t>
      </w:r>
    </w:p>
    <w:p w14:paraId="36094214">
      <w:pPr>
        <w:ind w:firstLine="315" w:firstLineChars="150"/>
      </w:pPr>
      <w:r>
        <w:rPr>
          <w:rFonts w:hint="eastAsia"/>
        </w:rPr>
        <w:t>（6）设计负责人的资格要求：见投标人须知前附表；</w:t>
      </w:r>
    </w:p>
    <w:p w14:paraId="3E9FEBFA">
      <w:pPr>
        <w:ind w:firstLine="315" w:firstLineChars="150"/>
      </w:pPr>
      <w:r>
        <w:rPr>
          <w:rFonts w:hint="eastAsia"/>
        </w:rPr>
        <w:t>（7）施工负责人的资格要求：见投标人须知前附表；</w:t>
      </w:r>
    </w:p>
    <w:p w14:paraId="72AF14A1">
      <w:pPr>
        <w:ind w:firstLine="315" w:firstLineChars="150"/>
      </w:pPr>
      <w:r>
        <w:rPr>
          <w:rFonts w:hint="eastAsia"/>
        </w:rPr>
        <w:t>（8）其他要求：见投标人须知前附表。</w:t>
      </w:r>
    </w:p>
    <w:p w14:paraId="6E79AF56">
      <w:pPr>
        <w:ind w:firstLine="420" w:firstLineChars="200"/>
      </w:pPr>
      <w:r>
        <w:rPr>
          <w:rFonts w:hint="eastAsia"/>
        </w:rPr>
        <w:t xml:space="preserve">1.4.2 投标人须知前附表规定接受联合体投标的，除应符合本章第1.4.1项和投标人须知前附表的要求外，还应遵守以下规定： </w:t>
      </w:r>
    </w:p>
    <w:p w14:paraId="4E854109">
      <w:pPr>
        <w:ind w:firstLine="315" w:firstLineChars="150"/>
      </w:pPr>
      <w:r>
        <w:rPr>
          <w:rFonts w:hint="eastAsia"/>
        </w:rPr>
        <w:t>（1）联合体各方应按招标文件提供的格式签订联合体协议书，明确联合体牵头人和各方权利义务；</w:t>
      </w:r>
    </w:p>
    <w:p w14:paraId="2F57D095">
      <w:pPr>
        <w:ind w:firstLine="315" w:firstLineChars="150"/>
      </w:pPr>
      <w:r>
        <w:rPr>
          <w:rFonts w:hint="eastAsia"/>
        </w:rPr>
        <w:t>（2）由同一专业的单位组成的联合体，按照资质等级较低的单位确定资质等级；</w:t>
      </w:r>
    </w:p>
    <w:p w14:paraId="41F22CF2">
      <w:pPr>
        <w:ind w:firstLine="315" w:firstLineChars="150"/>
      </w:pPr>
      <w:r>
        <w:rPr>
          <w:rFonts w:hint="eastAsia"/>
        </w:rPr>
        <w:t>（3）联合体各方不得再以自己名义单独或参加其他联合体在本招标项目中投标。</w:t>
      </w:r>
    </w:p>
    <w:p w14:paraId="58FAD6F8">
      <w:pPr>
        <w:ind w:firstLine="420" w:firstLineChars="200"/>
      </w:pPr>
      <w:r>
        <w:rPr>
          <w:rFonts w:hint="eastAsia"/>
        </w:rPr>
        <w:t>1.4.3 投标人不得存在下列任一情形：</w:t>
      </w:r>
    </w:p>
    <w:p w14:paraId="03A4D3AC">
      <w:pPr>
        <w:ind w:firstLine="315" w:firstLineChars="150"/>
      </w:pPr>
      <w:r>
        <w:rPr>
          <w:rFonts w:hint="eastAsia"/>
        </w:rPr>
        <w:t xml:space="preserve">（1）为招标人不具有独立法人资格的附属机构（单位）； </w:t>
      </w:r>
    </w:p>
    <w:p w14:paraId="568EAAC0">
      <w:pPr>
        <w:ind w:firstLine="315" w:firstLineChars="150"/>
      </w:pPr>
      <w:r>
        <w:rPr>
          <w:rFonts w:hint="eastAsia"/>
        </w:rPr>
        <w:t>（</w:t>
      </w:r>
      <w:r>
        <w:t>3）为本招标项目的监理单位、</w:t>
      </w:r>
      <w:r>
        <w:rPr>
          <w:rFonts w:hint="eastAsia"/>
        </w:rPr>
        <w:t>跟踪审计</w:t>
      </w:r>
      <w:r>
        <w:t>单位、招标代理单位、全过程咨询单位</w:t>
      </w:r>
      <w:r>
        <w:rPr>
          <w:rFonts w:hint="eastAsia"/>
        </w:rPr>
        <w:t>；</w:t>
      </w:r>
    </w:p>
    <w:p w14:paraId="454E5DF1">
      <w:pPr>
        <w:ind w:firstLine="315" w:firstLineChars="150"/>
      </w:pPr>
      <w:r>
        <w:rPr>
          <w:rFonts w:hint="eastAsia"/>
        </w:rPr>
        <w:t>（4）被责令停业的；</w:t>
      </w:r>
    </w:p>
    <w:p w14:paraId="4C7F1613">
      <w:pPr>
        <w:ind w:firstLine="315" w:firstLineChars="150"/>
      </w:pPr>
      <w:r>
        <w:rPr>
          <w:rFonts w:hint="eastAsia"/>
        </w:rPr>
        <w:t>（5）被暂停或取消投标资格的；</w:t>
      </w:r>
    </w:p>
    <w:p w14:paraId="2BC15632">
      <w:pPr>
        <w:ind w:firstLine="315" w:firstLineChars="150"/>
      </w:pPr>
      <w:r>
        <w:rPr>
          <w:rFonts w:hint="eastAsia"/>
        </w:rPr>
        <w:t>（</w:t>
      </w:r>
      <w:r>
        <w:t>6）财产被接管或冻结的；</w:t>
      </w:r>
    </w:p>
    <w:p w14:paraId="0CE9E7D3">
      <w:pPr>
        <w:ind w:firstLine="315" w:firstLineChars="150"/>
        <w:rPr>
          <w:rFonts w:cs="宋体"/>
        </w:rPr>
      </w:pPr>
      <w:r>
        <w:rPr>
          <w:rFonts w:hint="eastAsia" w:cs="宋体"/>
        </w:rPr>
        <w:t>1.4.4 单位负责人为同一人或者存在控股、管理关系的不同单位，不得同时参加本招标项目投标。</w:t>
      </w:r>
    </w:p>
    <w:p w14:paraId="4C7C3F37">
      <w:pPr>
        <w:pStyle w:val="4"/>
        <w:spacing w:before="0" w:after="0" w:line="360" w:lineRule="auto"/>
        <w:ind w:firstLine="424" w:firstLineChars="202"/>
        <w:rPr>
          <w:rFonts w:ascii="Times New Roman" w:hAnsi="Times New Roman" w:eastAsia="宋体"/>
          <w:bCs w:val="0"/>
          <w:sz w:val="21"/>
          <w:szCs w:val="24"/>
        </w:rPr>
      </w:pPr>
      <w:bookmarkStart w:id="101" w:name="_Toc247527559"/>
      <w:bookmarkStart w:id="102" w:name="_Toc144974503"/>
      <w:bookmarkStart w:id="103" w:name="_Toc247513958"/>
      <w:bookmarkStart w:id="104" w:name="_Toc152045535"/>
      <w:bookmarkStart w:id="105" w:name="_Toc152042311"/>
      <w:bookmarkStart w:id="106" w:name="_Toc98503860"/>
      <w:r>
        <w:rPr>
          <w:rFonts w:hint="eastAsia" w:ascii="Times New Roman" w:hAnsi="Times New Roman" w:eastAsia="宋体"/>
          <w:bCs w:val="0"/>
          <w:sz w:val="21"/>
          <w:szCs w:val="24"/>
        </w:rPr>
        <w:t>1.5 费用承担</w:t>
      </w:r>
      <w:bookmarkEnd w:id="101"/>
      <w:bookmarkEnd w:id="102"/>
      <w:bookmarkEnd w:id="103"/>
      <w:bookmarkEnd w:id="104"/>
      <w:bookmarkEnd w:id="105"/>
      <w:r>
        <w:rPr>
          <w:rFonts w:hint="eastAsia" w:ascii="Times New Roman" w:hAnsi="Times New Roman" w:eastAsia="宋体"/>
          <w:bCs w:val="0"/>
          <w:sz w:val="21"/>
          <w:szCs w:val="24"/>
        </w:rPr>
        <w:t>和设计成果补偿</w:t>
      </w:r>
      <w:bookmarkEnd w:id="106"/>
    </w:p>
    <w:p w14:paraId="6797A526">
      <w:pPr>
        <w:ind w:firstLine="420" w:firstLineChars="200"/>
      </w:pPr>
      <w:r>
        <w:rPr>
          <w:rFonts w:hint="eastAsia"/>
        </w:rPr>
        <w:t>1.5.1 投标人准备和参加投标活动发生的费用自理。</w:t>
      </w:r>
    </w:p>
    <w:p w14:paraId="222DBF6D">
      <w:pPr>
        <w:ind w:firstLine="420" w:firstLineChars="200"/>
      </w:pPr>
      <w:r>
        <w:rPr>
          <w:rFonts w:hint="eastAsia"/>
        </w:rPr>
        <w:t>1.5.2 招标人对符合招标文件规定的未中标人的设计成果进行补偿的，按投标人须知前附表规定给予补偿，并有权免费使用未中标人设计成果。</w:t>
      </w:r>
    </w:p>
    <w:p w14:paraId="34FDF4DC">
      <w:pPr>
        <w:pStyle w:val="4"/>
        <w:spacing w:before="0" w:after="0" w:line="360" w:lineRule="auto"/>
        <w:ind w:firstLine="424" w:firstLineChars="202"/>
        <w:rPr>
          <w:rFonts w:ascii="Times New Roman" w:hAnsi="Times New Roman" w:eastAsia="宋体"/>
          <w:bCs w:val="0"/>
          <w:sz w:val="21"/>
          <w:szCs w:val="24"/>
        </w:rPr>
      </w:pPr>
      <w:bookmarkStart w:id="107" w:name="_Toc152045536"/>
      <w:bookmarkStart w:id="108" w:name="_Toc247513959"/>
      <w:bookmarkStart w:id="109" w:name="_Toc98503861"/>
      <w:bookmarkStart w:id="110" w:name="_Toc144974504"/>
      <w:bookmarkStart w:id="111" w:name="_Toc152042312"/>
      <w:bookmarkStart w:id="112" w:name="_Toc247527560"/>
      <w:r>
        <w:rPr>
          <w:rFonts w:hint="eastAsia" w:ascii="Times New Roman" w:hAnsi="Times New Roman" w:eastAsia="宋体"/>
          <w:bCs w:val="0"/>
          <w:sz w:val="21"/>
          <w:szCs w:val="24"/>
        </w:rPr>
        <w:t>1.6 保密</w:t>
      </w:r>
      <w:bookmarkEnd w:id="107"/>
      <w:bookmarkEnd w:id="108"/>
      <w:bookmarkEnd w:id="109"/>
      <w:bookmarkEnd w:id="110"/>
      <w:bookmarkEnd w:id="111"/>
      <w:bookmarkEnd w:id="112"/>
    </w:p>
    <w:p w14:paraId="73EF766B">
      <w:pPr>
        <w:ind w:firstLine="420" w:firstLineChars="200"/>
      </w:pPr>
      <w:r>
        <w:rPr>
          <w:rFonts w:hint="eastAsia"/>
        </w:rPr>
        <w:t xml:space="preserve">参与招标投标活动的各方应对招标文件和投标文件中的商业和技术等秘密保密，否则应承担相应的法律责任。 </w:t>
      </w:r>
    </w:p>
    <w:p w14:paraId="2A6A64A1">
      <w:pPr>
        <w:pStyle w:val="4"/>
        <w:spacing w:before="0" w:after="0" w:line="360" w:lineRule="auto"/>
        <w:ind w:firstLine="424" w:firstLineChars="202"/>
        <w:rPr>
          <w:rFonts w:ascii="Times New Roman" w:hAnsi="Times New Roman" w:eastAsia="宋体"/>
          <w:bCs w:val="0"/>
          <w:sz w:val="21"/>
          <w:szCs w:val="24"/>
        </w:rPr>
      </w:pPr>
      <w:bookmarkStart w:id="113" w:name="_Toc144974505"/>
      <w:bookmarkStart w:id="114" w:name="_Toc247513960"/>
      <w:bookmarkStart w:id="115" w:name="_Toc152042313"/>
      <w:bookmarkStart w:id="116" w:name="_Toc98503862"/>
      <w:bookmarkStart w:id="117" w:name="_Toc152045537"/>
      <w:bookmarkStart w:id="118" w:name="_Toc247527561"/>
      <w:r>
        <w:rPr>
          <w:rFonts w:hint="eastAsia" w:ascii="Times New Roman" w:hAnsi="Times New Roman" w:eastAsia="宋体"/>
          <w:bCs w:val="0"/>
          <w:sz w:val="21"/>
          <w:szCs w:val="24"/>
        </w:rPr>
        <w:t>1.7 语言</w:t>
      </w:r>
      <w:bookmarkEnd w:id="113"/>
      <w:r>
        <w:rPr>
          <w:rFonts w:hint="eastAsia" w:ascii="Times New Roman" w:hAnsi="Times New Roman" w:eastAsia="宋体"/>
          <w:bCs w:val="0"/>
          <w:sz w:val="21"/>
          <w:szCs w:val="24"/>
        </w:rPr>
        <w:t>文字</w:t>
      </w:r>
      <w:bookmarkEnd w:id="114"/>
      <w:bookmarkEnd w:id="115"/>
      <w:bookmarkEnd w:id="116"/>
      <w:bookmarkEnd w:id="117"/>
      <w:bookmarkEnd w:id="118"/>
    </w:p>
    <w:p w14:paraId="252262ED">
      <w:pPr>
        <w:ind w:firstLine="420" w:firstLineChars="200"/>
      </w:pPr>
      <w:r>
        <w:rPr>
          <w:rFonts w:hint="eastAsia"/>
        </w:rPr>
        <w:t>招标投标文件使用的语言文字为中文。专用术语使用外文的，应附有中文注释。</w:t>
      </w:r>
    </w:p>
    <w:p w14:paraId="5F973382">
      <w:pPr>
        <w:pStyle w:val="4"/>
        <w:spacing w:before="0" w:after="0" w:line="360" w:lineRule="auto"/>
        <w:ind w:firstLine="424" w:firstLineChars="202"/>
        <w:rPr>
          <w:rFonts w:ascii="Times New Roman" w:hAnsi="Times New Roman" w:eastAsia="宋体"/>
          <w:bCs w:val="0"/>
          <w:sz w:val="21"/>
          <w:szCs w:val="24"/>
        </w:rPr>
      </w:pPr>
      <w:bookmarkStart w:id="119" w:name="_Toc152045538"/>
      <w:bookmarkStart w:id="120" w:name="_Toc247513961"/>
      <w:bookmarkStart w:id="121" w:name="_Toc144974506"/>
      <w:bookmarkStart w:id="122" w:name="_Toc152042314"/>
      <w:bookmarkStart w:id="123" w:name="_Toc247527562"/>
      <w:bookmarkStart w:id="124" w:name="_Toc98503863"/>
      <w:r>
        <w:rPr>
          <w:rFonts w:hint="eastAsia" w:ascii="Times New Roman" w:hAnsi="Times New Roman" w:eastAsia="宋体"/>
          <w:bCs w:val="0"/>
          <w:sz w:val="21"/>
          <w:szCs w:val="24"/>
        </w:rPr>
        <w:t>1.8 计量单位</w:t>
      </w:r>
      <w:bookmarkEnd w:id="119"/>
      <w:bookmarkEnd w:id="120"/>
      <w:bookmarkEnd w:id="121"/>
      <w:bookmarkEnd w:id="122"/>
      <w:bookmarkEnd w:id="123"/>
      <w:bookmarkEnd w:id="124"/>
    </w:p>
    <w:p w14:paraId="015C76B1">
      <w:pPr>
        <w:ind w:firstLine="420" w:firstLineChars="200"/>
      </w:pPr>
      <w:r>
        <w:rPr>
          <w:rFonts w:hint="eastAsia"/>
        </w:rPr>
        <w:t>所有计量均采用中华人民共和国法定计量单位。</w:t>
      </w:r>
    </w:p>
    <w:p w14:paraId="3696D799">
      <w:pPr>
        <w:pStyle w:val="4"/>
        <w:spacing w:before="0" w:after="0" w:line="360" w:lineRule="auto"/>
        <w:ind w:firstLine="424" w:firstLineChars="202"/>
        <w:rPr>
          <w:rFonts w:ascii="Times New Roman" w:hAnsi="Times New Roman" w:eastAsia="宋体"/>
          <w:bCs w:val="0"/>
          <w:sz w:val="21"/>
          <w:szCs w:val="24"/>
        </w:rPr>
      </w:pPr>
      <w:bookmarkStart w:id="125" w:name="_Toc152042315"/>
      <w:bookmarkStart w:id="126" w:name="_Toc144974507"/>
      <w:bookmarkStart w:id="127" w:name="_Toc98503864"/>
      <w:bookmarkStart w:id="128" w:name="_Toc247513962"/>
      <w:bookmarkStart w:id="129" w:name="_Toc247527563"/>
      <w:bookmarkStart w:id="130" w:name="_Toc152045539"/>
      <w:r>
        <w:rPr>
          <w:rFonts w:hint="eastAsia" w:ascii="Times New Roman" w:hAnsi="Times New Roman" w:eastAsia="宋体"/>
          <w:bCs w:val="0"/>
          <w:sz w:val="21"/>
          <w:szCs w:val="24"/>
        </w:rPr>
        <w:t>1.9 踏勘现场</w:t>
      </w:r>
      <w:bookmarkEnd w:id="125"/>
      <w:bookmarkEnd w:id="126"/>
      <w:bookmarkEnd w:id="127"/>
      <w:bookmarkEnd w:id="128"/>
      <w:bookmarkEnd w:id="129"/>
      <w:bookmarkEnd w:id="130"/>
    </w:p>
    <w:p w14:paraId="5CAB3D4D">
      <w:pPr>
        <w:ind w:firstLine="420" w:firstLineChars="200"/>
      </w:pPr>
      <w:r>
        <w:rPr>
          <w:rFonts w:hint="eastAsia"/>
        </w:rPr>
        <w:t xml:space="preserve">1.9.1 投标人须知前附表规定组织踏勘现场的，招标人按投标人须知前附表规定的时间、地点组织投标人踏勘项目现场。 </w:t>
      </w:r>
    </w:p>
    <w:p w14:paraId="20DDDF45">
      <w:pPr>
        <w:ind w:firstLine="420" w:firstLineChars="200"/>
      </w:pPr>
      <w:r>
        <w:rPr>
          <w:rFonts w:hint="eastAsia"/>
        </w:rPr>
        <w:t>1.9.2 投标人踏勘现场发生的费用自理。</w:t>
      </w:r>
    </w:p>
    <w:p w14:paraId="257D19A9">
      <w:pPr>
        <w:ind w:firstLine="420" w:firstLineChars="200"/>
      </w:pPr>
      <w:r>
        <w:rPr>
          <w:rFonts w:hint="eastAsia"/>
        </w:rPr>
        <w:t>1.9.3 除招标人的原因外，投标人自行负责在踏勘现场中所发生的人员伤亡和财产损失。</w:t>
      </w:r>
    </w:p>
    <w:p w14:paraId="47F2451A">
      <w:pPr>
        <w:ind w:firstLine="420" w:firstLineChars="200"/>
      </w:pPr>
      <w:r>
        <w:rPr>
          <w:rFonts w:hint="eastAsia"/>
        </w:rPr>
        <w:t>1.9.4 招标人在踏勘现场中介绍的工程场地和相关的周边环境情况，供投标人在编制投标文件时参考，招标人不对投标人据此作出的判断和决策负责。</w:t>
      </w:r>
    </w:p>
    <w:p w14:paraId="22813047">
      <w:pPr>
        <w:pStyle w:val="4"/>
        <w:spacing w:before="0" w:after="0" w:line="360" w:lineRule="auto"/>
        <w:ind w:firstLine="424" w:firstLineChars="202"/>
        <w:rPr>
          <w:rFonts w:ascii="Times New Roman" w:hAnsi="Times New Roman" w:eastAsia="宋体"/>
          <w:bCs w:val="0"/>
          <w:sz w:val="21"/>
          <w:szCs w:val="24"/>
        </w:rPr>
      </w:pPr>
      <w:bookmarkStart w:id="131" w:name="_Toc144974508"/>
      <w:bookmarkStart w:id="132" w:name="_Toc98503865"/>
      <w:bookmarkStart w:id="133" w:name="_Toc152042316"/>
      <w:bookmarkStart w:id="134" w:name="_Toc247513963"/>
      <w:bookmarkStart w:id="135" w:name="_Toc247527564"/>
      <w:bookmarkStart w:id="136" w:name="_Toc152045540"/>
      <w:r>
        <w:rPr>
          <w:rFonts w:hint="eastAsia" w:ascii="Times New Roman" w:hAnsi="Times New Roman" w:eastAsia="宋体"/>
          <w:bCs w:val="0"/>
          <w:sz w:val="21"/>
          <w:szCs w:val="24"/>
        </w:rPr>
        <w:t>1.10 投标预备会</w:t>
      </w:r>
      <w:bookmarkEnd w:id="131"/>
      <w:bookmarkEnd w:id="132"/>
      <w:bookmarkEnd w:id="133"/>
      <w:bookmarkEnd w:id="134"/>
      <w:bookmarkEnd w:id="135"/>
      <w:bookmarkEnd w:id="136"/>
    </w:p>
    <w:p w14:paraId="54666486">
      <w:pPr>
        <w:ind w:firstLine="420" w:firstLineChars="200"/>
      </w:pPr>
      <w:r>
        <w:rPr>
          <w:rFonts w:hint="eastAsia"/>
        </w:rPr>
        <w:t>1.10.1 投标人须知前附表规定召开投标预备会的，招标人按投标人须知前附表规定的时间和地点召开投标预备会，澄清投标人提出的问题。</w:t>
      </w:r>
    </w:p>
    <w:p w14:paraId="0A81D802">
      <w:pPr>
        <w:ind w:firstLine="420" w:firstLineChars="200"/>
      </w:pPr>
      <w:r>
        <w:rPr>
          <w:rFonts w:hint="eastAsia"/>
        </w:rPr>
        <w:t>1.10.2 投标人应在投标人须知前附表规定的时间前，以书面形式将提出的问题送达招标人，以便招标人在会议期间澄清。</w:t>
      </w:r>
    </w:p>
    <w:p w14:paraId="634400FD">
      <w:pPr>
        <w:ind w:firstLine="420" w:firstLineChars="200"/>
      </w:pPr>
      <w:r>
        <w:rPr>
          <w:rFonts w:hint="eastAsia"/>
        </w:rPr>
        <w:t>1.10.3 投标预备会后，招标人在投标人须知前附表规定的时间内，将对投标人所提问题的澄清，以书面形式通知所有购买招标文件的投标人。该澄清内容为招标文件的组成部分。</w:t>
      </w:r>
    </w:p>
    <w:p w14:paraId="3DE9EAA2">
      <w:pPr>
        <w:pStyle w:val="4"/>
        <w:spacing w:before="0" w:after="0" w:line="360" w:lineRule="auto"/>
        <w:ind w:firstLine="424" w:firstLineChars="202"/>
        <w:rPr>
          <w:rFonts w:ascii="Times New Roman" w:hAnsi="Times New Roman" w:eastAsia="宋体"/>
          <w:bCs w:val="0"/>
          <w:sz w:val="21"/>
          <w:szCs w:val="24"/>
        </w:rPr>
      </w:pPr>
      <w:bookmarkStart w:id="137" w:name="_Toc98503867"/>
      <w:bookmarkStart w:id="138" w:name="_Toc247513965"/>
      <w:bookmarkStart w:id="139" w:name="_Toc247527566"/>
      <w:r>
        <w:rPr>
          <w:rFonts w:hint="eastAsia" w:ascii="Times New Roman" w:hAnsi="Times New Roman" w:eastAsia="宋体"/>
          <w:bCs w:val="0"/>
          <w:sz w:val="21"/>
          <w:szCs w:val="24"/>
        </w:rPr>
        <w:t>1.12 偏离</w:t>
      </w:r>
      <w:bookmarkEnd w:id="137"/>
      <w:bookmarkEnd w:id="138"/>
      <w:bookmarkEnd w:id="139"/>
    </w:p>
    <w:p w14:paraId="7D2393D7">
      <w:pPr>
        <w:ind w:firstLine="424" w:firstLineChars="202"/>
      </w:pPr>
      <w:r>
        <w:rPr>
          <w:rFonts w:hint="eastAsia"/>
        </w:rPr>
        <w:t>投标人须知前附表允许投标文件偏离招标文件某些要求的，偏离应当符合招标文件规定的偏离范围和幅度。</w:t>
      </w:r>
    </w:p>
    <w:p w14:paraId="5B5D62BC">
      <w:pPr>
        <w:pStyle w:val="3"/>
        <w:ind w:left="426"/>
      </w:pPr>
      <w:bookmarkStart w:id="140" w:name="_Toc144974510"/>
      <w:bookmarkStart w:id="141" w:name="_Toc247513966"/>
      <w:bookmarkStart w:id="142" w:name="_Toc152045542"/>
      <w:bookmarkStart w:id="143" w:name="_Toc115196025"/>
      <w:bookmarkStart w:id="144" w:name="_Toc98503868"/>
      <w:bookmarkStart w:id="145" w:name="_Toc247527567"/>
      <w:bookmarkStart w:id="146" w:name="_Toc152042318"/>
      <w:r>
        <w:rPr>
          <w:rFonts w:hint="eastAsia"/>
        </w:rPr>
        <w:t>2. 招标文件</w:t>
      </w:r>
      <w:bookmarkEnd w:id="140"/>
      <w:bookmarkEnd w:id="141"/>
      <w:bookmarkEnd w:id="142"/>
      <w:bookmarkEnd w:id="143"/>
      <w:bookmarkEnd w:id="144"/>
      <w:bookmarkEnd w:id="145"/>
      <w:bookmarkEnd w:id="146"/>
    </w:p>
    <w:p w14:paraId="4C38702D">
      <w:pPr>
        <w:pStyle w:val="4"/>
        <w:spacing w:before="0" w:after="0" w:line="360" w:lineRule="auto"/>
        <w:ind w:firstLine="424" w:firstLineChars="202"/>
        <w:rPr>
          <w:rFonts w:ascii="Times New Roman" w:hAnsi="Times New Roman" w:eastAsia="宋体"/>
          <w:bCs w:val="0"/>
          <w:sz w:val="21"/>
          <w:szCs w:val="24"/>
        </w:rPr>
      </w:pPr>
      <w:bookmarkStart w:id="147" w:name="_Toc98503869"/>
      <w:bookmarkStart w:id="148" w:name="_Toc247527568"/>
      <w:bookmarkStart w:id="149" w:name="_Toc152045543"/>
      <w:bookmarkStart w:id="150" w:name="_Toc152042319"/>
      <w:bookmarkStart w:id="151" w:name="_Toc247513967"/>
      <w:bookmarkStart w:id="152" w:name="_Toc144974511"/>
      <w:r>
        <w:rPr>
          <w:rFonts w:hint="eastAsia" w:ascii="Times New Roman" w:hAnsi="Times New Roman" w:eastAsia="宋体"/>
          <w:bCs w:val="0"/>
          <w:sz w:val="21"/>
          <w:szCs w:val="24"/>
        </w:rPr>
        <w:t>2.1 招标文件的组成</w:t>
      </w:r>
      <w:bookmarkEnd w:id="147"/>
      <w:bookmarkEnd w:id="148"/>
      <w:bookmarkEnd w:id="149"/>
      <w:bookmarkEnd w:id="150"/>
      <w:bookmarkEnd w:id="151"/>
      <w:bookmarkEnd w:id="152"/>
    </w:p>
    <w:p w14:paraId="520354AC">
      <w:r>
        <w:rPr>
          <w:rFonts w:hint="eastAsia"/>
        </w:rPr>
        <w:t>　　本招标文件包括：</w:t>
      </w:r>
    </w:p>
    <w:p w14:paraId="6274E647">
      <w:pPr>
        <w:ind w:firstLine="359" w:firstLineChars="171"/>
      </w:pPr>
      <w:r>
        <w:rPr>
          <w:rFonts w:hint="eastAsia"/>
        </w:rPr>
        <w:t>（1）招标公告；</w:t>
      </w:r>
    </w:p>
    <w:p w14:paraId="31D4D1B7">
      <w:pPr>
        <w:ind w:firstLine="359" w:firstLineChars="171"/>
      </w:pPr>
      <w:r>
        <w:rPr>
          <w:rFonts w:hint="eastAsia"/>
        </w:rPr>
        <w:t>（2）投标人须知；</w:t>
      </w:r>
    </w:p>
    <w:p w14:paraId="1A731B92">
      <w:pPr>
        <w:ind w:firstLine="359" w:firstLineChars="171"/>
      </w:pPr>
      <w:r>
        <w:rPr>
          <w:rFonts w:hint="eastAsia"/>
        </w:rPr>
        <w:t>（3）评标办法；</w:t>
      </w:r>
    </w:p>
    <w:p w14:paraId="41360186">
      <w:pPr>
        <w:ind w:firstLine="359" w:firstLineChars="171"/>
      </w:pPr>
      <w:r>
        <w:rPr>
          <w:rFonts w:hint="eastAsia"/>
        </w:rPr>
        <w:t>（</w:t>
      </w:r>
      <w:r>
        <w:rPr>
          <w:rFonts w:hint="eastAsia"/>
          <w:lang w:val="en-US" w:eastAsia="zh-CN"/>
        </w:rPr>
        <w:t>4</w:t>
      </w:r>
      <w:r>
        <w:rPr>
          <w:rFonts w:hint="eastAsia"/>
        </w:rPr>
        <w:t>）发包人要求；</w:t>
      </w:r>
    </w:p>
    <w:p w14:paraId="78072910">
      <w:pPr>
        <w:ind w:firstLine="359" w:firstLineChars="171"/>
      </w:pPr>
      <w:r>
        <w:rPr>
          <w:rFonts w:hint="eastAsia"/>
        </w:rPr>
        <w:t>（</w:t>
      </w:r>
      <w:r>
        <w:rPr>
          <w:rFonts w:hint="eastAsia"/>
          <w:lang w:val="en-US" w:eastAsia="zh-CN"/>
        </w:rPr>
        <w:t>5</w:t>
      </w:r>
      <w:r>
        <w:rPr>
          <w:rFonts w:hint="eastAsia"/>
        </w:rPr>
        <w:t>）发包人提供的资料和条件；</w:t>
      </w:r>
    </w:p>
    <w:p w14:paraId="6393FF90">
      <w:pPr>
        <w:ind w:firstLine="359" w:firstLineChars="171"/>
      </w:pPr>
      <w:r>
        <w:rPr>
          <w:rFonts w:hint="eastAsia"/>
        </w:rPr>
        <w:t>（</w:t>
      </w:r>
      <w:r>
        <w:rPr>
          <w:rFonts w:hint="eastAsia"/>
          <w:lang w:val="en-US" w:eastAsia="zh-CN"/>
        </w:rPr>
        <w:t>6</w:t>
      </w:r>
      <w:r>
        <w:rPr>
          <w:rFonts w:hint="eastAsia"/>
        </w:rPr>
        <w:t>）投标文件格式；</w:t>
      </w:r>
    </w:p>
    <w:p w14:paraId="26BF1520">
      <w:pPr>
        <w:ind w:firstLine="359" w:firstLineChars="171"/>
      </w:pPr>
      <w:r>
        <w:rPr>
          <w:rFonts w:hint="eastAsia"/>
        </w:rPr>
        <w:t>（</w:t>
      </w:r>
      <w:r>
        <w:rPr>
          <w:rFonts w:hint="eastAsia"/>
          <w:lang w:val="en-US" w:eastAsia="zh-CN"/>
        </w:rPr>
        <w:t>7</w:t>
      </w:r>
      <w:r>
        <w:rPr>
          <w:rFonts w:hint="eastAsia"/>
        </w:rPr>
        <w:t>）投标人须知前附表规定的其他资料。</w:t>
      </w:r>
    </w:p>
    <w:p w14:paraId="65FECEA7">
      <w:pPr>
        <w:pStyle w:val="4"/>
        <w:spacing w:before="0" w:after="0" w:line="360" w:lineRule="auto"/>
        <w:ind w:firstLine="424" w:firstLineChars="202"/>
        <w:rPr>
          <w:rFonts w:ascii="Times New Roman" w:hAnsi="Times New Roman" w:eastAsia="宋体"/>
          <w:bCs w:val="0"/>
          <w:sz w:val="21"/>
          <w:szCs w:val="24"/>
        </w:rPr>
      </w:pPr>
      <w:bookmarkStart w:id="153" w:name="_Toc152042320"/>
      <w:bookmarkStart w:id="154" w:name="_Toc152045544"/>
      <w:bookmarkStart w:id="155" w:name="_Toc247513968"/>
      <w:bookmarkStart w:id="156" w:name="_Toc144974512"/>
      <w:bookmarkStart w:id="157" w:name="_Toc98503870"/>
      <w:bookmarkStart w:id="158" w:name="_Toc247527569"/>
      <w:r>
        <w:rPr>
          <w:rFonts w:hint="eastAsia" w:ascii="Times New Roman" w:hAnsi="Times New Roman" w:eastAsia="宋体"/>
          <w:bCs w:val="0"/>
          <w:sz w:val="21"/>
          <w:szCs w:val="24"/>
        </w:rPr>
        <w:t>2.2 招标文件的澄清</w:t>
      </w:r>
      <w:bookmarkEnd w:id="153"/>
      <w:bookmarkEnd w:id="154"/>
      <w:bookmarkEnd w:id="155"/>
      <w:bookmarkEnd w:id="156"/>
      <w:bookmarkEnd w:id="157"/>
      <w:bookmarkEnd w:id="158"/>
    </w:p>
    <w:p w14:paraId="6646AB70">
      <w:pPr>
        <w:ind w:firstLine="420" w:firstLineChars="200"/>
      </w:pPr>
      <w:r>
        <w:rPr>
          <w:rFonts w:hint="eastAsia"/>
        </w:rPr>
        <w:t>2.2.1 投标人应仔细阅读和检查招标文件的全部内容。</w:t>
      </w:r>
      <w:r>
        <w:rPr>
          <w:rFonts w:hint="eastAsia"/>
          <w:szCs w:val="21"/>
        </w:rPr>
        <w:t>如发现缺页或附件不全，应及时向招标人提出，以便补齐。</w:t>
      </w:r>
      <w:r>
        <w:rPr>
          <w:rFonts w:hint="eastAsia"/>
        </w:rPr>
        <w:t>如有疑问，应在投标人须知前附表规定的时间前以书面形式（包括信函、电报、传真、邮件等可以有形地表现所载内容的形式，下同），要求招标人对招标文件予以澄清。</w:t>
      </w:r>
      <w:bookmarkStart w:id="159" w:name="_Toc98503872"/>
      <w:bookmarkStart w:id="160" w:name="_Toc247527571"/>
      <w:bookmarkStart w:id="161" w:name="_Toc152042322"/>
      <w:bookmarkStart w:id="162" w:name="_Toc247513970"/>
      <w:bookmarkStart w:id="163" w:name="_Toc152045546"/>
      <w:bookmarkStart w:id="164" w:name="_Toc144974514"/>
    </w:p>
    <w:p w14:paraId="53F4528B">
      <w:pPr>
        <w:pStyle w:val="3"/>
        <w:ind w:left="426"/>
      </w:pPr>
      <w:bookmarkStart w:id="165" w:name="_Toc115196026"/>
      <w:r>
        <w:rPr>
          <w:rFonts w:hint="eastAsia"/>
        </w:rPr>
        <w:t>3.投标文件</w:t>
      </w:r>
      <w:bookmarkEnd w:id="159"/>
      <w:bookmarkEnd w:id="160"/>
      <w:bookmarkEnd w:id="161"/>
      <w:bookmarkEnd w:id="162"/>
      <w:bookmarkEnd w:id="163"/>
      <w:bookmarkEnd w:id="164"/>
      <w:bookmarkEnd w:id="165"/>
    </w:p>
    <w:p w14:paraId="32663067">
      <w:pPr>
        <w:pStyle w:val="4"/>
        <w:spacing w:before="0" w:after="0" w:line="360" w:lineRule="auto"/>
        <w:ind w:firstLine="424" w:firstLineChars="202"/>
        <w:rPr>
          <w:rFonts w:ascii="Times New Roman" w:hAnsi="Times New Roman" w:eastAsia="宋体"/>
          <w:bCs w:val="0"/>
          <w:sz w:val="21"/>
          <w:szCs w:val="24"/>
        </w:rPr>
      </w:pPr>
      <w:bookmarkStart w:id="166" w:name="_Toc152042323"/>
      <w:bookmarkStart w:id="167" w:name="_Toc98503873"/>
      <w:bookmarkStart w:id="168" w:name="_Toc152045547"/>
      <w:bookmarkStart w:id="169" w:name="_Toc144974515"/>
      <w:bookmarkStart w:id="170" w:name="_Toc247513971"/>
      <w:bookmarkStart w:id="171" w:name="_Toc247527572"/>
      <w:r>
        <w:rPr>
          <w:rFonts w:hint="eastAsia" w:ascii="Times New Roman" w:hAnsi="Times New Roman" w:eastAsia="宋体"/>
          <w:bCs w:val="0"/>
          <w:sz w:val="21"/>
          <w:szCs w:val="24"/>
        </w:rPr>
        <w:t>3.1纸质投标文件的组成</w:t>
      </w:r>
      <w:bookmarkEnd w:id="166"/>
      <w:bookmarkEnd w:id="167"/>
      <w:bookmarkEnd w:id="168"/>
      <w:bookmarkEnd w:id="169"/>
      <w:bookmarkEnd w:id="170"/>
      <w:bookmarkEnd w:id="171"/>
    </w:p>
    <w:p w14:paraId="15175E5A">
      <w:r>
        <w:rPr>
          <w:rFonts w:hint="eastAsia"/>
        </w:rPr>
        <w:t>　　3.1.1 投标文件至少包括下列内容：</w:t>
      </w:r>
    </w:p>
    <w:p w14:paraId="08280F7E">
      <w:pPr>
        <w:ind w:firstLine="359" w:firstLineChars="171"/>
      </w:pPr>
      <w:r>
        <w:rPr>
          <w:rFonts w:hint="eastAsia"/>
        </w:rPr>
        <w:t>（1）投标函及投标函附录；</w:t>
      </w:r>
    </w:p>
    <w:p w14:paraId="04845B40">
      <w:pPr>
        <w:ind w:firstLine="359" w:firstLineChars="171"/>
      </w:pPr>
      <w:r>
        <w:rPr>
          <w:rFonts w:hint="eastAsia"/>
        </w:rPr>
        <w:t>（2）法定代表人身份证明或附有法定代表人身份证明的授权委托书；</w:t>
      </w:r>
    </w:p>
    <w:p w14:paraId="4186D37C">
      <w:pPr>
        <w:ind w:firstLine="359" w:firstLineChars="171"/>
      </w:pPr>
      <w:r>
        <w:rPr>
          <w:rFonts w:hint="eastAsia"/>
        </w:rPr>
        <w:t>（3）联合体协议书（如有）；</w:t>
      </w:r>
    </w:p>
    <w:p w14:paraId="7D724654">
      <w:pPr>
        <w:ind w:firstLine="359" w:firstLineChars="171"/>
      </w:pPr>
      <w:r>
        <w:rPr>
          <w:rFonts w:hint="eastAsia"/>
        </w:rPr>
        <w:t>（4）投标保证金；</w:t>
      </w:r>
    </w:p>
    <w:p w14:paraId="0D53CA9D">
      <w:pPr>
        <w:ind w:firstLine="359" w:firstLineChars="171"/>
      </w:pPr>
      <w:r>
        <w:rPr>
          <w:rFonts w:hint="eastAsia"/>
        </w:rPr>
        <w:t>（5）投标报价价格清单；</w:t>
      </w:r>
    </w:p>
    <w:p w14:paraId="1F7F2405">
      <w:pPr>
        <w:ind w:firstLine="359" w:firstLineChars="171"/>
      </w:pPr>
      <w:r>
        <w:rPr>
          <w:rFonts w:hint="eastAsia"/>
        </w:rPr>
        <w:t>（6）承包人建议书；</w:t>
      </w:r>
    </w:p>
    <w:p w14:paraId="1D5BE87E">
      <w:pPr>
        <w:ind w:firstLine="359" w:firstLineChars="171"/>
      </w:pPr>
      <w:r>
        <w:rPr>
          <w:rFonts w:hint="eastAsia"/>
        </w:rPr>
        <w:t>（7）承包人实施方案；</w:t>
      </w:r>
    </w:p>
    <w:p w14:paraId="2F204280">
      <w:pPr>
        <w:ind w:firstLine="359" w:firstLineChars="171"/>
      </w:pPr>
      <w:r>
        <w:rPr>
          <w:rFonts w:hint="eastAsia"/>
        </w:rPr>
        <w:t>（8）资格审查资料；</w:t>
      </w:r>
    </w:p>
    <w:p w14:paraId="25B44DD5">
      <w:pPr>
        <w:ind w:firstLine="359" w:firstLineChars="171"/>
      </w:pPr>
      <w:r>
        <w:rPr>
          <w:rFonts w:hint="eastAsia"/>
        </w:rPr>
        <w:t>（9）投标人须知前附表规定的其他资料（如承诺等）；</w:t>
      </w:r>
    </w:p>
    <w:p w14:paraId="2B8E2A9F">
      <w:pPr>
        <w:ind w:firstLine="359" w:firstLineChars="171"/>
      </w:pPr>
      <w:r>
        <w:t>（</w:t>
      </w:r>
      <w:r>
        <w:rPr>
          <w:rFonts w:hint="eastAsia"/>
        </w:rPr>
        <w:t>1</w:t>
      </w:r>
      <w:r>
        <w:t>0）其他资料。</w:t>
      </w:r>
    </w:p>
    <w:p w14:paraId="167C6A60">
      <w:pPr>
        <w:ind w:firstLine="424" w:firstLineChars="202"/>
      </w:pPr>
      <w:r>
        <w:rPr>
          <w:rFonts w:hint="eastAsia"/>
        </w:rPr>
        <w:t xml:space="preserve">3.1.2 投标人须知前附表规定不接受联合体投标的，或投标人没有组成联合体的，投标文件不包括本章第3.1.1（3）目所指的联合体协议书。 </w:t>
      </w:r>
    </w:p>
    <w:p w14:paraId="7A9C7D14">
      <w:pPr>
        <w:pStyle w:val="4"/>
        <w:spacing w:before="0" w:after="0" w:line="360" w:lineRule="auto"/>
        <w:ind w:firstLine="424" w:firstLineChars="202"/>
        <w:rPr>
          <w:rFonts w:ascii="Times New Roman" w:hAnsi="Times New Roman" w:eastAsia="宋体"/>
          <w:bCs w:val="0"/>
          <w:sz w:val="21"/>
          <w:szCs w:val="24"/>
        </w:rPr>
      </w:pPr>
      <w:bookmarkStart w:id="172" w:name="_Toc144974516"/>
      <w:bookmarkStart w:id="173" w:name="_Toc98503874"/>
      <w:bookmarkStart w:id="174" w:name="_Toc247527573"/>
      <w:bookmarkStart w:id="175" w:name="_Toc247513972"/>
      <w:bookmarkStart w:id="176" w:name="_Toc152042324"/>
      <w:bookmarkStart w:id="177" w:name="_Toc152045548"/>
      <w:r>
        <w:rPr>
          <w:rFonts w:hint="eastAsia" w:ascii="Times New Roman" w:hAnsi="Times New Roman" w:eastAsia="宋体"/>
          <w:bCs w:val="0"/>
          <w:sz w:val="21"/>
          <w:szCs w:val="24"/>
        </w:rPr>
        <w:t>3.2 投标报价</w:t>
      </w:r>
      <w:bookmarkEnd w:id="172"/>
      <w:bookmarkEnd w:id="173"/>
      <w:bookmarkEnd w:id="174"/>
      <w:bookmarkEnd w:id="175"/>
      <w:bookmarkEnd w:id="176"/>
      <w:bookmarkEnd w:id="177"/>
      <w:r>
        <w:rPr>
          <w:rFonts w:hint="eastAsia" w:ascii="Times New Roman" w:hAnsi="Times New Roman" w:eastAsia="宋体"/>
          <w:bCs w:val="0"/>
          <w:sz w:val="21"/>
          <w:szCs w:val="24"/>
        </w:rPr>
        <w:t xml:space="preserve"> </w:t>
      </w:r>
    </w:p>
    <w:p w14:paraId="195B606D">
      <w:pPr>
        <w:ind w:firstLine="420" w:firstLineChars="200"/>
      </w:pPr>
      <w:r>
        <w:rPr>
          <w:rFonts w:hint="eastAsia"/>
        </w:rPr>
        <w:t>3.2.1 投标人应按第七章“投标文件格式”的要求填写价格清单。</w:t>
      </w:r>
    </w:p>
    <w:p w14:paraId="7A55DA81">
      <w:pPr>
        <w:ind w:firstLine="420" w:firstLineChars="200"/>
        <w:rPr>
          <w:szCs w:val="21"/>
        </w:rPr>
      </w:pPr>
      <w:r>
        <w:rPr>
          <w:rFonts w:hint="eastAsia"/>
        </w:rPr>
        <w:t xml:space="preserve">3.2.2 </w:t>
      </w:r>
      <w:r>
        <w:rPr>
          <w:rFonts w:hint="eastAsia"/>
          <w:szCs w:val="21"/>
        </w:rPr>
        <w:t>投标人应充分了解施工场地的</w:t>
      </w:r>
      <w:r>
        <w:rPr>
          <w:szCs w:val="21"/>
        </w:rPr>
        <w:t>位置、周边</w:t>
      </w:r>
      <w:r>
        <w:rPr>
          <w:rFonts w:hint="eastAsia"/>
          <w:szCs w:val="21"/>
        </w:rPr>
        <w:t>环境</w:t>
      </w:r>
      <w:r>
        <w:rPr>
          <w:szCs w:val="21"/>
        </w:rPr>
        <w:t>、道路、装卸、保管、安装限制</w:t>
      </w:r>
      <w:r>
        <w:rPr>
          <w:rFonts w:hint="eastAsia"/>
          <w:szCs w:val="21"/>
        </w:rPr>
        <w:t>以</w:t>
      </w:r>
      <w:r>
        <w:rPr>
          <w:szCs w:val="21"/>
        </w:rPr>
        <w:t>及影响</w:t>
      </w:r>
      <w:r>
        <w:rPr>
          <w:rFonts w:hint="eastAsia"/>
          <w:szCs w:val="21"/>
        </w:rPr>
        <w:t>投标报价的其他要素。投标人</w:t>
      </w:r>
      <w:r>
        <w:rPr>
          <w:szCs w:val="21"/>
        </w:rPr>
        <w:t>根据</w:t>
      </w:r>
      <w:r>
        <w:rPr>
          <w:rFonts w:hint="eastAsia"/>
          <w:szCs w:val="21"/>
        </w:rPr>
        <w:t>投标</w:t>
      </w:r>
      <w:r>
        <w:rPr>
          <w:szCs w:val="21"/>
        </w:rPr>
        <w:t>设计</w:t>
      </w:r>
      <w:r>
        <w:rPr>
          <w:rFonts w:hint="eastAsia"/>
          <w:szCs w:val="21"/>
        </w:rPr>
        <w:t>，结合</w:t>
      </w:r>
      <w:r>
        <w:rPr>
          <w:szCs w:val="21"/>
        </w:rPr>
        <w:t>市场情况进行投标报价。</w:t>
      </w:r>
    </w:p>
    <w:p w14:paraId="6A1161B5">
      <w:pPr>
        <w:ind w:firstLine="420" w:firstLineChars="200"/>
      </w:pPr>
      <w:r>
        <w:rPr>
          <w:rFonts w:hint="eastAsia"/>
        </w:rPr>
        <w:t>3.2.3 投标人在投标截止时间前修改投标函中的投标报价总额，应同时修改投标文件“价格清单”中的相应报价，投标报价总额为各分项金额之和。此修改须符合本章第4.3款的有关要求。</w:t>
      </w:r>
    </w:p>
    <w:p w14:paraId="5ED60577">
      <w:pPr>
        <w:ind w:firstLine="420" w:firstLineChars="200"/>
      </w:pPr>
      <w:r>
        <w:rPr>
          <w:rFonts w:hint="eastAsia"/>
        </w:rPr>
        <w:t>3.2.4 招标人设有最高投标限价的，投标人的投标报价不得超过最高投标限价，最高投标限价在投标人须知前附表中载明。</w:t>
      </w:r>
    </w:p>
    <w:p w14:paraId="59E26905">
      <w:pPr>
        <w:ind w:firstLine="420" w:firstLineChars="200"/>
      </w:pPr>
      <w:r>
        <w:rPr>
          <w:rFonts w:hint="eastAsia"/>
        </w:rPr>
        <w:t>3.2.5 投标报价的其他要求见投标人须知前附表。</w:t>
      </w:r>
    </w:p>
    <w:p w14:paraId="787C0B0F">
      <w:pPr>
        <w:pStyle w:val="4"/>
        <w:spacing w:before="0" w:after="0" w:line="360" w:lineRule="auto"/>
        <w:ind w:firstLine="420" w:firstLineChars="200"/>
      </w:pPr>
      <w:bookmarkStart w:id="178" w:name="_Toc152042325"/>
      <w:bookmarkStart w:id="179" w:name="_Toc247527574"/>
      <w:bookmarkStart w:id="180" w:name="_Toc152045549"/>
      <w:bookmarkStart w:id="181" w:name="_Toc247513973"/>
      <w:bookmarkStart w:id="182" w:name="_Toc98503875"/>
      <w:bookmarkStart w:id="183" w:name="_Toc144974517"/>
      <w:r>
        <w:rPr>
          <w:rFonts w:hint="eastAsia" w:ascii="Times New Roman" w:hAnsi="Times New Roman" w:eastAsia="宋体"/>
          <w:sz w:val="21"/>
          <w:szCs w:val="24"/>
        </w:rPr>
        <w:t>3.3 投标有效期</w:t>
      </w:r>
      <w:bookmarkEnd w:id="178"/>
      <w:bookmarkEnd w:id="179"/>
      <w:bookmarkEnd w:id="180"/>
      <w:bookmarkEnd w:id="181"/>
      <w:bookmarkEnd w:id="182"/>
      <w:bookmarkEnd w:id="183"/>
    </w:p>
    <w:p w14:paraId="2BAEA695">
      <w:pPr>
        <w:ind w:firstLine="420" w:firstLineChars="200"/>
      </w:pPr>
      <w:r>
        <w:rPr>
          <w:rFonts w:hint="eastAsia"/>
        </w:rPr>
        <w:t>3.3.1 除投标人须知前附表另有规定外，投标有效期为120天。</w:t>
      </w:r>
    </w:p>
    <w:p w14:paraId="3FCB9641">
      <w:pPr>
        <w:ind w:firstLine="420" w:firstLineChars="200"/>
      </w:pPr>
      <w:r>
        <w:rPr>
          <w:rFonts w:hint="eastAsia"/>
        </w:rPr>
        <w:t>3.3.2 在投标有效期内，投标人撤销或修改其投标文件的，应承担招标文件和法律规定的责任。</w:t>
      </w:r>
    </w:p>
    <w:p w14:paraId="03F45C12">
      <w:pPr>
        <w:ind w:firstLine="420" w:firstLineChars="200"/>
      </w:pPr>
      <w:r>
        <w:rPr>
          <w:rFonts w:hint="eastAsia"/>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7B38CED">
      <w:pPr>
        <w:pStyle w:val="4"/>
        <w:spacing w:before="0" w:after="0" w:line="360" w:lineRule="auto"/>
        <w:ind w:firstLine="424" w:firstLineChars="202"/>
        <w:rPr>
          <w:rFonts w:ascii="Times New Roman" w:hAnsi="Times New Roman" w:eastAsia="宋体"/>
          <w:bCs w:val="0"/>
          <w:sz w:val="21"/>
          <w:szCs w:val="24"/>
        </w:rPr>
      </w:pPr>
      <w:bookmarkStart w:id="184" w:name="_Toc152045550"/>
      <w:bookmarkStart w:id="185" w:name="_Toc98503876"/>
      <w:bookmarkStart w:id="186" w:name="_Toc247513974"/>
      <w:bookmarkStart w:id="187" w:name="_Toc247527575"/>
      <w:bookmarkStart w:id="188" w:name="_Toc152042326"/>
      <w:bookmarkStart w:id="189" w:name="_Toc144974518"/>
      <w:r>
        <w:rPr>
          <w:rFonts w:hint="eastAsia" w:ascii="Times New Roman" w:hAnsi="Times New Roman" w:eastAsia="宋体"/>
          <w:bCs w:val="0"/>
          <w:sz w:val="21"/>
          <w:szCs w:val="24"/>
        </w:rPr>
        <w:t>3.4 投标保证金</w:t>
      </w:r>
      <w:bookmarkEnd w:id="184"/>
      <w:bookmarkEnd w:id="185"/>
      <w:bookmarkEnd w:id="186"/>
      <w:bookmarkEnd w:id="187"/>
      <w:bookmarkEnd w:id="188"/>
      <w:bookmarkEnd w:id="189"/>
    </w:p>
    <w:p w14:paraId="462F75B8">
      <w:pPr>
        <w:ind w:firstLine="420" w:firstLineChars="200"/>
      </w:pPr>
      <w:r>
        <w:rPr>
          <w:rFonts w:hint="eastAsia"/>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14:paraId="084CCA47">
      <w:pPr>
        <w:ind w:firstLine="420" w:firstLineChars="200"/>
      </w:pPr>
      <w:r>
        <w:rPr>
          <w:rFonts w:hint="eastAsia"/>
        </w:rPr>
        <w:t>3.4.2 投标人不按本章第3.4.1项要求提交投标保证金的，评标委员会将否决其投标。</w:t>
      </w:r>
    </w:p>
    <w:p w14:paraId="05CF47E2">
      <w:pPr>
        <w:ind w:firstLine="420" w:firstLineChars="200"/>
      </w:pPr>
      <w:r>
        <w:rPr>
          <w:rFonts w:hint="eastAsia"/>
        </w:rPr>
        <w:t>3.4.3 招标人与中标人签订合同后5日内，向未中标的投标人和中标人退还投标保证金。</w:t>
      </w:r>
    </w:p>
    <w:p w14:paraId="7150551F">
      <w:pPr>
        <w:ind w:firstLine="420" w:firstLineChars="200"/>
      </w:pPr>
      <w:r>
        <w:rPr>
          <w:rFonts w:hint="eastAsia"/>
        </w:rPr>
        <w:t xml:space="preserve">3.4.4 有下列情形之一的，投标保证金将不予退还： </w:t>
      </w:r>
    </w:p>
    <w:p w14:paraId="6AE00CF0">
      <w:pPr>
        <w:ind w:firstLine="315" w:firstLineChars="150"/>
      </w:pPr>
      <w:r>
        <w:rPr>
          <w:rFonts w:hint="eastAsia"/>
        </w:rPr>
        <w:t>（1）投标人在规定的投标有效期内撤销或修改其投标文件；</w:t>
      </w:r>
    </w:p>
    <w:p w14:paraId="1E30B8C6">
      <w:pPr>
        <w:ind w:firstLine="315" w:firstLineChars="150"/>
      </w:pPr>
      <w:r>
        <w:rPr>
          <w:rFonts w:hint="eastAsia"/>
        </w:rPr>
        <w:t>（2）中标人在收到中标通知书后，无正当理由拒签合同或未按招标文件规定提交履约担保；</w:t>
      </w:r>
    </w:p>
    <w:p w14:paraId="07EBE2A5">
      <w:pPr>
        <w:ind w:firstLine="315" w:firstLineChars="150"/>
      </w:pPr>
      <w:r>
        <w:t>（</w:t>
      </w:r>
      <w:r>
        <w:rPr>
          <w:rFonts w:hint="eastAsia"/>
        </w:rPr>
        <w:t>3</w:t>
      </w:r>
      <w:r>
        <w:t>）经查实，发现有围标、串标、弄虚作假、骗取中标情况的；</w:t>
      </w:r>
    </w:p>
    <w:p w14:paraId="44E41C8B">
      <w:pPr>
        <w:ind w:firstLine="315" w:firstLineChars="150"/>
      </w:pPr>
      <w:r>
        <w:t>（</w:t>
      </w:r>
      <w:r>
        <w:rPr>
          <w:rFonts w:hint="eastAsia"/>
        </w:rPr>
        <w:t>4</w:t>
      </w:r>
      <w:r>
        <w:t>）</w:t>
      </w:r>
      <w:r>
        <w:rPr>
          <w:rFonts w:hint="eastAsia"/>
        </w:rPr>
        <w:t>中标人无正当理由放弃中标的。</w:t>
      </w:r>
    </w:p>
    <w:p w14:paraId="54DD9627">
      <w:pPr>
        <w:pStyle w:val="4"/>
        <w:spacing w:before="0" w:after="0" w:line="360" w:lineRule="auto"/>
        <w:ind w:firstLine="424" w:firstLineChars="202"/>
        <w:rPr>
          <w:rFonts w:ascii="Times New Roman" w:hAnsi="Times New Roman" w:eastAsia="宋体"/>
          <w:bCs w:val="0"/>
          <w:sz w:val="21"/>
          <w:szCs w:val="24"/>
        </w:rPr>
      </w:pPr>
      <w:bookmarkStart w:id="190" w:name="_Toc247527577"/>
      <w:bookmarkStart w:id="191" w:name="_Toc247513976"/>
      <w:bookmarkStart w:id="192" w:name="_Toc144974520"/>
      <w:bookmarkStart w:id="193" w:name="_Toc98503877"/>
      <w:bookmarkStart w:id="194" w:name="_Toc152045552"/>
      <w:bookmarkStart w:id="195" w:name="_Toc152042328"/>
      <w:r>
        <w:rPr>
          <w:rFonts w:hint="eastAsia" w:ascii="Times New Roman" w:hAnsi="Times New Roman" w:eastAsia="宋体"/>
          <w:bCs w:val="0"/>
          <w:sz w:val="21"/>
          <w:szCs w:val="24"/>
        </w:rPr>
        <w:t>3.5 资格审查资料</w:t>
      </w:r>
      <w:bookmarkEnd w:id="190"/>
      <w:bookmarkEnd w:id="191"/>
      <w:bookmarkEnd w:id="192"/>
      <w:bookmarkEnd w:id="193"/>
      <w:bookmarkEnd w:id="194"/>
      <w:bookmarkEnd w:id="195"/>
    </w:p>
    <w:p w14:paraId="241BEE3C">
      <w:pPr>
        <w:ind w:firstLine="420" w:firstLineChars="200"/>
      </w:pPr>
      <w:r>
        <w:rPr>
          <w:rFonts w:hint="eastAsia"/>
        </w:rPr>
        <w:t>详见</w:t>
      </w:r>
      <w:r>
        <w:t>资格审查资料</w:t>
      </w:r>
      <w:r>
        <w:rPr>
          <w:rFonts w:hint="eastAsia"/>
        </w:rPr>
        <w:t>。</w:t>
      </w:r>
    </w:p>
    <w:p w14:paraId="63CF24AB">
      <w:pPr>
        <w:pStyle w:val="4"/>
        <w:spacing w:before="0" w:after="0" w:line="360" w:lineRule="auto"/>
        <w:ind w:firstLine="424" w:firstLineChars="202"/>
        <w:rPr>
          <w:rFonts w:ascii="Times New Roman" w:hAnsi="Times New Roman" w:eastAsia="宋体"/>
          <w:bCs w:val="0"/>
          <w:sz w:val="21"/>
          <w:szCs w:val="24"/>
        </w:rPr>
      </w:pPr>
      <w:bookmarkStart w:id="196" w:name="_Toc247513977"/>
      <w:bookmarkStart w:id="197" w:name="_Toc152045553"/>
      <w:bookmarkStart w:id="198" w:name="_Toc98503878"/>
      <w:bookmarkStart w:id="199" w:name="_Toc247527578"/>
      <w:bookmarkStart w:id="200" w:name="_Toc144974521"/>
      <w:bookmarkStart w:id="201" w:name="_Toc152042329"/>
      <w:r>
        <w:rPr>
          <w:rFonts w:hint="eastAsia" w:ascii="Times New Roman" w:hAnsi="Times New Roman" w:eastAsia="宋体"/>
          <w:bCs w:val="0"/>
          <w:sz w:val="21"/>
          <w:szCs w:val="24"/>
        </w:rPr>
        <w:t>3.6 备选投标方案</w:t>
      </w:r>
      <w:bookmarkEnd w:id="196"/>
      <w:bookmarkEnd w:id="197"/>
      <w:bookmarkEnd w:id="198"/>
      <w:bookmarkEnd w:id="199"/>
      <w:bookmarkEnd w:id="200"/>
      <w:bookmarkEnd w:id="201"/>
    </w:p>
    <w:p w14:paraId="71E7170C">
      <w:pPr>
        <w:ind w:firstLine="420" w:firstLineChars="200"/>
      </w:pPr>
      <w:r>
        <w:rPr>
          <w:rFonts w:hint="eastAsia"/>
        </w:rPr>
        <w:t>投标人不得递交备选投标方案。</w:t>
      </w:r>
    </w:p>
    <w:p w14:paraId="1D1ADAFA">
      <w:pPr>
        <w:pStyle w:val="4"/>
        <w:spacing w:before="0" w:after="0" w:line="360" w:lineRule="auto"/>
        <w:ind w:firstLine="424" w:firstLineChars="202"/>
        <w:rPr>
          <w:rFonts w:ascii="Times New Roman" w:hAnsi="Times New Roman" w:eastAsia="宋体"/>
          <w:bCs w:val="0"/>
          <w:sz w:val="21"/>
          <w:szCs w:val="24"/>
        </w:rPr>
      </w:pPr>
      <w:bookmarkStart w:id="202" w:name="_Toc152045554"/>
      <w:bookmarkStart w:id="203" w:name="_Toc247527579"/>
      <w:bookmarkStart w:id="204" w:name="_Toc152042330"/>
      <w:bookmarkStart w:id="205" w:name="_Toc98503879"/>
      <w:bookmarkStart w:id="206" w:name="_Toc247513978"/>
      <w:bookmarkStart w:id="207" w:name="_Toc144974522"/>
      <w:r>
        <w:rPr>
          <w:rFonts w:hint="eastAsia" w:ascii="Times New Roman" w:hAnsi="Times New Roman" w:eastAsia="宋体"/>
          <w:bCs w:val="0"/>
          <w:sz w:val="21"/>
          <w:szCs w:val="24"/>
        </w:rPr>
        <w:t>3.7 投标文件的编制</w:t>
      </w:r>
      <w:bookmarkEnd w:id="202"/>
      <w:bookmarkEnd w:id="203"/>
      <w:bookmarkEnd w:id="204"/>
      <w:bookmarkEnd w:id="205"/>
      <w:bookmarkEnd w:id="206"/>
      <w:bookmarkEnd w:id="207"/>
    </w:p>
    <w:p w14:paraId="7E60574C">
      <w:pPr>
        <w:ind w:firstLine="420" w:firstLineChars="200"/>
      </w:pPr>
      <w:r>
        <w:t>3.7.1</w:t>
      </w:r>
      <w:r>
        <w:rPr>
          <w:rFonts w:hint="eastAsia"/>
        </w:rPr>
        <w:t>纸质</w:t>
      </w:r>
      <w:r>
        <w:t>投标文件应按第</w:t>
      </w:r>
      <w:r>
        <w:rPr>
          <w:rFonts w:hint="eastAsia"/>
        </w:rPr>
        <w:t>七</w:t>
      </w:r>
      <w:r>
        <w:t>章“投标文件格式”在编写，作为投</w:t>
      </w:r>
      <w:r>
        <w:rPr>
          <w:rFonts w:hint="eastAsia"/>
        </w:rPr>
        <w:t>标文件的组成部分。</w:t>
      </w:r>
    </w:p>
    <w:p w14:paraId="6886A301">
      <w:pPr>
        <w:ind w:firstLine="420" w:firstLineChars="200"/>
      </w:pPr>
      <w:r>
        <w:t>3.7.2</w:t>
      </w:r>
      <w:r>
        <w:rPr>
          <w:rFonts w:hint="eastAsia"/>
        </w:rPr>
        <w:t>纸质</w:t>
      </w:r>
      <w:r>
        <w:t>投标文件应当对电子招标文件有关工期、投标有效期、质量要求、技术标准和要</w:t>
      </w:r>
      <w:r>
        <w:rPr>
          <w:rFonts w:hint="eastAsia"/>
        </w:rPr>
        <w:t>求、招标范围等实质性内容作出响应。</w:t>
      </w:r>
    </w:p>
    <w:p w14:paraId="3895F36C">
      <w:pPr>
        <w:pStyle w:val="3"/>
        <w:ind w:left="426"/>
        <w:rPr>
          <w:rFonts w:ascii="Times New Roman" w:hAnsi="Times New Roman"/>
          <w:szCs w:val="24"/>
        </w:rPr>
      </w:pPr>
      <w:bookmarkStart w:id="208" w:name="_Toc144974523"/>
      <w:bookmarkStart w:id="209" w:name="_Toc247527580"/>
      <w:bookmarkStart w:id="210" w:name="_Toc152045555"/>
      <w:bookmarkStart w:id="211" w:name="_Toc115196027"/>
      <w:bookmarkStart w:id="212" w:name="_Toc98503880"/>
      <w:bookmarkStart w:id="213" w:name="_Toc247513979"/>
      <w:bookmarkStart w:id="214" w:name="_Toc152042331"/>
      <w:r>
        <w:rPr>
          <w:rFonts w:hint="eastAsia"/>
        </w:rPr>
        <w:t>4. 投标</w:t>
      </w:r>
      <w:bookmarkEnd w:id="208"/>
      <w:bookmarkEnd w:id="209"/>
      <w:bookmarkEnd w:id="210"/>
      <w:bookmarkEnd w:id="211"/>
      <w:bookmarkEnd w:id="212"/>
      <w:bookmarkEnd w:id="213"/>
      <w:bookmarkEnd w:id="214"/>
    </w:p>
    <w:p w14:paraId="17886838">
      <w:pPr>
        <w:pStyle w:val="4"/>
        <w:spacing w:before="0" w:after="0" w:line="360" w:lineRule="auto"/>
        <w:ind w:firstLine="424" w:firstLineChars="202"/>
        <w:rPr>
          <w:rFonts w:ascii="Times New Roman" w:hAnsi="Times New Roman" w:eastAsia="宋体"/>
          <w:bCs w:val="0"/>
          <w:sz w:val="21"/>
          <w:szCs w:val="24"/>
        </w:rPr>
      </w:pPr>
      <w:bookmarkStart w:id="215" w:name="_Toc144974524"/>
      <w:bookmarkStart w:id="216" w:name="_Toc247513980"/>
      <w:bookmarkStart w:id="217" w:name="_Toc98503881"/>
      <w:bookmarkStart w:id="218" w:name="_Toc152045556"/>
      <w:bookmarkStart w:id="219" w:name="_Toc152042332"/>
      <w:bookmarkStart w:id="220" w:name="_Toc247527581"/>
      <w:r>
        <w:rPr>
          <w:rFonts w:ascii="Times New Roman" w:hAnsi="Times New Roman" w:eastAsia="宋体"/>
          <w:bCs w:val="0"/>
          <w:sz w:val="21"/>
          <w:szCs w:val="24"/>
        </w:rPr>
        <w:t xml:space="preserve">4.1 </w:t>
      </w:r>
      <w:r>
        <w:rPr>
          <w:rFonts w:hint="eastAsia" w:ascii="Times New Roman" w:hAnsi="Times New Roman" w:eastAsia="宋体"/>
          <w:bCs w:val="0"/>
          <w:sz w:val="21"/>
          <w:szCs w:val="24"/>
        </w:rPr>
        <w:t>投标文件的密封和标记</w:t>
      </w:r>
      <w:bookmarkEnd w:id="215"/>
      <w:bookmarkEnd w:id="216"/>
      <w:bookmarkEnd w:id="217"/>
      <w:bookmarkEnd w:id="218"/>
      <w:bookmarkEnd w:id="219"/>
      <w:bookmarkEnd w:id="220"/>
    </w:p>
    <w:p w14:paraId="3C331476">
      <w:pPr>
        <w:pStyle w:val="4"/>
        <w:spacing w:before="0" w:after="0" w:line="360" w:lineRule="auto"/>
        <w:ind w:firstLine="424" w:firstLineChars="202"/>
        <w:rPr>
          <w:rFonts w:ascii="Times New Roman" w:hAnsi="Times New Roman" w:eastAsia="宋体"/>
          <w:bCs w:val="0"/>
          <w:sz w:val="21"/>
          <w:szCs w:val="24"/>
        </w:rPr>
      </w:pPr>
      <w:bookmarkStart w:id="221" w:name="_Toc144974525"/>
      <w:bookmarkStart w:id="222" w:name="_Toc152045557"/>
      <w:bookmarkStart w:id="223" w:name="_Toc247513981"/>
      <w:bookmarkStart w:id="224" w:name="_Toc247527582"/>
      <w:bookmarkStart w:id="225" w:name="_Toc98503882"/>
      <w:bookmarkStart w:id="226" w:name="_Toc152042333"/>
      <w:r>
        <w:rPr>
          <w:rFonts w:hint="eastAsia" w:ascii="Times New Roman" w:hAnsi="Times New Roman" w:eastAsia="宋体"/>
          <w:bCs w:val="0"/>
          <w:sz w:val="21"/>
          <w:szCs w:val="24"/>
        </w:rPr>
        <w:t>4.2纸质投标文件的递交</w:t>
      </w:r>
      <w:bookmarkEnd w:id="221"/>
      <w:bookmarkEnd w:id="222"/>
      <w:bookmarkEnd w:id="223"/>
      <w:bookmarkEnd w:id="224"/>
      <w:bookmarkEnd w:id="225"/>
      <w:bookmarkEnd w:id="226"/>
    </w:p>
    <w:p w14:paraId="450A89E1">
      <w:pPr>
        <w:ind w:firstLine="420" w:firstLineChars="200"/>
      </w:pPr>
      <w:r>
        <w:rPr>
          <w:rFonts w:hint="eastAsia"/>
        </w:rPr>
        <w:t>4.2.1 投标人应在投标人须知前附表第2.2.2项规定的投标截止时间前递交投标文件。</w:t>
      </w:r>
    </w:p>
    <w:p w14:paraId="3E642C82">
      <w:pPr>
        <w:ind w:firstLine="420" w:firstLineChars="200"/>
      </w:pPr>
      <w:r>
        <w:rPr>
          <w:rFonts w:hint="eastAsia"/>
        </w:rPr>
        <w:t>4.2.2 投标人递交投标文件的地点：见投标人须知前附表。</w:t>
      </w:r>
    </w:p>
    <w:p w14:paraId="4CE04DDF">
      <w:pPr>
        <w:ind w:firstLine="420" w:firstLineChars="200"/>
      </w:pPr>
      <w:r>
        <w:rPr>
          <w:rFonts w:hint="eastAsia"/>
        </w:rPr>
        <w:t>4.2.3 除投标人须知前附表另有规定外，投标人所递交的投标文件不予退还。</w:t>
      </w:r>
    </w:p>
    <w:p w14:paraId="69919896">
      <w:pPr>
        <w:ind w:firstLine="420" w:firstLineChars="200"/>
      </w:pPr>
      <w:r>
        <w:rPr>
          <w:rFonts w:hint="eastAsia"/>
        </w:rPr>
        <w:t>4.2.4 招标人收到投标文件后，向投标人出具签收凭证。</w:t>
      </w:r>
    </w:p>
    <w:p w14:paraId="39339BC1">
      <w:pPr>
        <w:ind w:firstLine="420" w:firstLineChars="200"/>
      </w:pPr>
      <w:r>
        <w:rPr>
          <w:rFonts w:hint="eastAsia"/>
        </w:rPr>
        <w:t>4.2.5 逾期送达的或者未送达指定地点的投标文件，招标人不予受理。</w:t>
      </w:r>
    </w:p>
    <w:p w14:paraId="155D9CC6">
      <w:pPr>
        <w:pStyle w:val="4"/>
        <w:spacing w:before="0" w:after="0" w:line="360" w:lineRule="auto"/>
        <w:ind w:firstLine="424" w:firstLineChars="202"/>
        <w:rPr>
          <w:rFonts w:ascii="Times New Roman" w:hAnsi="Times New Roman" w:eastAsia="宋体"/>
          <w:sz w:val="21"/>
          <w:szCs w:val="24"/>
        </w:rPr>
      </w:pPr>
      <w:bookmarkStart w:id="227" w:name="_Toc152045558"/>
      <w:bookmarkStart w:id="228" w:name="_Toc247513982"/>
      <w:bookmarkStart w:id="229" w:name="_Toc98503883"/>
      <w:bookmarkStart w:id="230" w:name="_Toc144974526"/>
      <w:bookmarkStart w:id="231" w:name="_Toc247527583"/>
      <w:bookmarkStart w:id="232" w:name="_Toc152042334"/>
      <w:r>
        <w:rPr>
          <w:rFonts w:hint="eastAsia" w:ascii="Times New Roman" w:hAnsi="Times New Roman" w:eastAsia="宋体"/>
          <w:sz w:val="21"/>
          <w:szCs w:val="24"/>
        </w:rPr>
        <w:t>4.3纸质投标文件的修改与撤回</w:t>
      </w:r>
      <w:bookmarkEnd w:id="227"/>
      <w:bookmarkEnd w:id="228"/>
      <w:bookmarkEnd w:id="229"/>
      <w:bookmarkEnd w:id="230"/>
      <w:bookmarkEnd w:id="231"/>
      <w:bookmarkEnd w:id="232"/>
    </w:p>
    <w:p w14:paraId="2EBCF0BB">
      <w:pPr>
        <w:ind w:firstLine="420" w:firstLineChars="200"/>
      </w:pPr>
      <w:r>
        <w:t>4.3.1 在本章第 2.2.2 项规定的投标截止时间前，投标人可以撤回已递交的投标文件，但应</w:t>
      </w:r>
      <w:r>
        <w:rPr>
          <w:rFonts w:hint="eastAsia"/>
        </w:rPr>
        <w:t>以书面形式通知招标人。</w:t>
      </w:r>
    </w:p>
    <w:p w14:paraId="5A04268C">
      <w:pPr>
        <w:ind w:firstLine="420" w:firstLineChars="200"/>
      </w:pPr>
      <w:r>
        <w:t>4.3.2 投标人撤回已递交投标文件的书面通知应按照投标人须知前附表第 3.7.3 项的要求签</w:t>
      </w:r>
      <w:r>
        <w:rPr>
          <w:rFonts w:hint="eastAsia"/>
        </w:rPr>
        <w:t>字或盖章。招标人收到书面通知后，向投标人出具签收凭证。</w:t>
      </w:r>
    </w:p>
    <w:p w14:paraId="14AFBB54">
      <w:pPr>
        <w:pStyle w:val="3"/>
      </w:pPr>
      <w:bookmarkStart w:id="233" w:name="_Toc98503884"/>
      <w:bookmarkStart w:id="234" w:name="_Toc144974527"/>
      <w:bookmarkStart w:id="235" w:name="_Toc152045559"/>
      <w:bookmarkStart w:id="236" w:name="_Toc152042335"/>
      <w:bookmarkStart w:id="237" w:name="_Toc247527584"/>
      <w:bookmarkStart w:id="238" w:name="_Toc247513983"/>
      <w:bookmarkStart w:id="239" w:name="_Toc115196028"/>
      <w:r>
        <w:rPr>
          <w:rFonts w:hint="eastAsia"/>
        </w:rPr>
        <w:t>5. 开标</w:t>
      </w:r>
      <w:bookmarkEnd w:id="233"/>
      <w:bookmarkEnd w:id="234"/>
      <w:bookmarkEnd w:id="235"/>
      <w:bookmarkEnd w:id="236"/>
      <w:bookmarkEnd w:id="237"/>
      <w:bookmarkEnd w:id="238"/>
      <w:bookmarkEnd w:id="239"/>
    </w:p>
    <w:p w14:paraId="5905C7F5">
      <w:pPr>
        <w:pStyle w:val="4"/>
        <w:spacing w:before="0" w:after="0"/>
        <w:ind w:firstLine="424" w:firstLineChars="202"/>
        <w:rPr>
          <w:rFonts w:ascii="Times New Roman" w:hAnsi="Times New Roman" w:eastAsia="宋体"/>
          <w:sz w:val="21"/>
          <w:szCs w:val="24"/>
        </w:rPr>
      </w:pPr>
      <w:bookmarkStart w:id="240" w:name="_Toc98503886"/>
      <w:r>
        <w:rPr>
          <w:rFonts w:ascii="Times New Roman" w:hAnsi="Times New Roman" w:eastAsia="宋体"/>
          <w:sz w:val="21"/>
          <w:szCs w:val="24"/>
        </w:rPr>
        <w:t>5.1 开标时间和地点</w:t>
      </w:r>
    </w:p>
    <w:p w14:paraId="393C27F4">
      <w:r>
        <w:rPr>
          <w:rFonts w:hint="eastAsia" w:ascii="Times New Roman" w:hAnsi="Times New Roman"/>
        </w:rPr>
        <w:t xml:space="preserve">    详见投标人前附表。</w:t>
      </w:r>
    </w:p>
    <w:p w14:paraId="25A6B375">
      <w:pPr>
        <w:pStyle w:val="4"/>
        <w:spacing w:before="0" w:after="0"/>
        <w:ind w:firstLine="424" w:firstLineChars="202"/>
        <w:rPr>
          <w:rFonts w:ascii="Times New Roman" w:hAnsi="Times New Roman" w:eastAsia="宋体"/>
          <w:sz w:val="21"/>
          <w:szCs w:val="24"/>
        </w:rPr>
      </w:pPr>
      <w:r>
        <w:rPr>
          <w:rFonts w:hint="eastAsia" w:ascii="Times New Roman" w:hAnsi="Times New Roman" w:eastAsia="宋体"/>
          <w:sz w:val="21"/>
          <w:szCs w:val="24"/>
        </w:rPr>
        <w:t>5.2 开标程序</w:t>
      </w:r>
      <w:bookmarkEnd w:id="240"/>
    </w:p>
    <w:p w14:paraId="0C11D9CA">
      <w:pPr>
        <w:ind w:firstLine="359" w:firstLineChars="171"/>
        <w:rPr>
          <w:b/>
          <w:bCs/>
        </w:rPr>
      </w:pPr>
      <w:r>
        <w:rPr>
          <w:rFonts w:hint="eastAsia"/>
          <w:bCs/>
        </w:rPr>
        <w:t>见投标人须知前附表</w:t>
      </w:r>
      <w:r>
        <w:rPr>
          <w:rFonts w:hint="eastAsia"/>
          <w:b/>
          <w:bCs/>
        </w:rPr>
        <w:t>。</w:t>
      </w:r>
    </w:p>
    <w:p w14:paraId="55C49C64">
      <w:pPr>
        <w:pStyle w:val="4"/>
        <w:spacing w:before="0" w:after="0"/>
        <w:ind w:firstLine="424" w:firstLineChars="202"/>
        <w:rPr>
          <w:rFonts w:ascii="Times New Roman" w:hAnsi="Times New Roman" w:eastAsia="宋体"/>
          <w:sz w:val="21"/>
          <w:szCs w:val="24"/>
        </w:rPr>
      </w:pPr>
      <w:r>
        <w:rPr>
          <w:rFonts w:ascii="Times New Roman" w:hAnsi="Times New Roman" w:eastAsia="宋体"/>
          <w:sz w:val="21"/>
          <w:szCs w:val="24"/>
        </w:rPr>
        <w:t>5.3 投标人有下列情形之一的视为无效投标：</w:t>
      </w:r>
    </w:p>
    <w:p w14:paraId="1F73E62C">
      <w:pPr>
        <w:ind w:firstLine="359" w:firstLineChars="171"/>
        <w:rPr>
          <w:rFonts w:ascii="Times New Roman" w:hAnsi="Times New Roman"/>
        </w:rPr>
      </w:pPr>
      <w:r>
        <w:rPr>
          <w:rFonts w:hint="eastAsia" w:ascii="Times New Roman" w:hAnsi="Times New Roman"/>
        </w:rPr>
        <w:t>（</w:t>
      </w:r>
      <w:r>
        <w:rPr>
          <w:rFonts w:ascii="Times New Roman" w:hAnsi="Times New Roman"/>
        </w:rPr>
        <w:t>1）开标一览表报价</w:t>
      </w:r>
      <w:r>
        <w:rPr>
          <w:rFonts w:hint="eastAsia" w:ascii="Times New Roman" w:hAnsi="Times New Roman"/>
        </w:rPr>
        <w:t>超过最高投标限价或</w:t>
      </w:r>
      <w:r>
        <w:rPr>
          <w:rFonts w:ascii="Times New Roman" w:hAnsi="Times New Roman"/>
        </w:rPr>
        <w:t>各分</w:t>
      </w:r>
      <w:r>
        <w:rPr>
          <w:rFonts w:hint="eastAsia" w:ascii="Times New Roman" w:hAnsi="Times New Roman"/>
        </w:rPr>
        <w:t>项投标限价的；</w:t>
      </w:r>
    </w:p>
    <w:p w14:paraId="00F6797C">
      <w:pPr>
        <w:ind w:firstLine="359" w:firstLineChars="171"/>
        <w:rPr>
          <w:rFonts w:ascii="Times New Roman" w:hAnsi="Times New Roman"/>
        </w:rPr>
      </w:pPr>
      <w:r>
        <w:rPr>
          <w:rFonts w:hint="eastAsia" w:ascii="Times New Roman" w:hAnsi="Times New Roman"/>
        </w:rPr>
        <w:t>（</w:t>
      </w:r>
      <w:r>
        <w:rPr>
          <w:rFonts w:ascii="Times New Roman" w:hAnsi="Times New Roman"/>
        </w:rPr>
        <w:t>2）无法定代表人（或法定代表人授权的代理人）签字（或盖章）或无单位盖章的；</w:t>
      </w:r>
    </w:p>
    <w:p w14:paraId="282CBB99">
      <w:pPr>
        <w:ind w:firstLine="359" w:firstLineChars="171"/>
        <w:rPr>
          <w:rFonts w:ascii="Times New Roman" w:hAnsi="Times New Roman"/>
        </w:rPr>
      </w:pPr>
      <w:r>
        <w:rPr>
          <w:rFonts w:hint="eastAsia" w:ascii="Times New Roman" w:hAnsi="Times New Roman"/>
        </w:rPr>
        <w:t>（</w:t>
      </w:r>
      <w:r>
        <w:rPr>
          <w:rFonts w:ascii="Times New Roman" w:hAnsi="Times New Roman"/>
        </w:rPr>
        <w:t>3）授权委托书未按规定格式填写，内容不全或关键字迹模糊、无法辨认的；</w:t>
      </w:r>
    </w:p>
    <w:p w14:paraId="65B30486">
      <w:pPr>
        <w:ind w:firstLine="359" w:firstLineChars="171"/>
        <w:rPr>
          <w:rFonts w:ascii="Times New Roman" w:hAnsi="Times New Roman"/>
        </w:rPr>
      </w:pPr>
      <w:r>
        <w:rPr>
          <w:rFonts w:hint="eastAsia" w:ascii="Times New Roman" w:hAnsi="Times New Roman"/>
        </w:rPr>
        <w:t>（</w:t>
      </w:r>
      <w:r>
        <w:rPr>
          <w:rFonts w:ascii="Times New Roman" w:hAnsi="Times New Roman"/>
        </w:rPr>
        <w:t>4）投标人在一份投标文件中对同一招标项目报有两个或多个报价，且未声明哪一个有效</w:t>
      </w:r>
      <w:r>
        <w:rPr>
          <w:rFonts w:hint="eastAsia" w:ascii="Times New Roman" w:hAnsi="Times New Roman"/>
        </w:rPr>
        <w:t>；</w:t>
      </w:r>
    </w:p>
    <w:p w14:paraId="45F9ED61">
      <w:pPr>
        <w:ind w:firstLine="359" w:firstLineChars="171"/>
        <w:rPr>
          <w:rFonts w:ascii="Times New Roman" w:hAnsi="Times New Roman"/>
        </w:rPr>
      </w:pPr>
      <w:r>
        <w:rPr>
          <w:rFonts w:hint="eastAsia" w:ascii="Times New Roman" w:hAnsi="Times New Roman"/>
        </w:rPr>
        <w:t>（</w:t>
      </w:r>
      <w:r>
        <w:rPr>
          <w:rFonts w:ascii="Times New Roman" w:hAnsi="Times New Roman"/>
        </w:rPr>
        <w:t>5）投标人未按招标文件的要求提交投标保证金的；</w:t>
      </w:r>
    </w:p>
    <w:p w14:paraId="5C2E72E4">
      <w:pPr>
        <w:ind w:firstLine="359" w:firstLineChars="171"/>
        <w:rPr>
          <w:rFonts w:ascii="Times New Roman" w:hAnsi="Times New Roman"/>
        </w:rPr>
      </w:pPr>
      <w:r>
        <w:rPr>
          <w:rFonts w:hint="eastAsia" w:ascii="Times New Roman" w:hAnsi="Times New Roman"/>
        </w:rPr>
        <w:t>（</w:t>
      </w:r>
      <w:r>
        <w:rPr>
          <w:rFonts w:ascii="Times New Roman" w:hAnsi="Times New Roman"/>
        </w:rPr>
        <w:t>6）联合体投标未附联合体各方共同投标协议的（如有）；</w:t>
      </w:r>
    </w:p>
    <w:p w14:paraId="0B1005B6">
      <w:pPr>
        <w:ind w:firstLine="359" w:firstLineChars="171"/>
        <w:rPr>
          <w:rFonts w:ascii="Times New Roman" w:hAnsi="Times New Roman"/>
        </w:rPr>
      </w:pPr>
      <w:r>
        <w:rPr>
          <w:rFonts w:hint="eastAsia" w:ascii="Times New Roman" w:hAnsi="Times New Roman"/>
        </w:rPr>
        <w:t>（</w:t>
      </w:r>
      <w:r>
        <w:rPr>
          <w:rFonts w:ascii="Times New Roman" w:hAnsi="Times New Roman"/>
        </w:rPr>
        <w:t>7）投标文件未按照电子招标文件的要求予以加密的；</w:t>
      </w:r>
    </w:p>
    <w:p w14:paraId="584676E2">
      <w:pPr>
        <w:ind w:firstLine="359" w:firstLineChars="171"/>
        <w:rPr>
          <w:rFonts w:ascii="Times New Roman" w:hAnsi="Times New Roman"/>
        </w:rPr>
      </w:pPr>
      <w:r>
        <w:rPr>
          <w:rFonts w:hint="eastAsia" w:ascii="Times New Roman" w:hAnsi="Times New Roman"/>
        </w:rPr>
        <w:t>（</w:t>
      </w:r>
      <w:r>
        <w:rPr>
          <w:rFonts w:ascii="Times New Roman" w:hAnsi="Times New Roman"/>
        </w:rPr>
        <w:t>8）投标保证金未从基本账户转出；</w:t>
      </w:r>
    </w:p>
    <w:p w14:paraId="4643B3C5">
      <w:pPr>
        <w:ind w:firstLine="359" w:firstLineChars="171"/>
        <w:rPr>
          <w:rFonts w:ascii="Times New Roman" w:hAnsi="Times New Roman"/>
        </w:rPr>
      </w:pPr>
      <w:r>
        <w:rPr>
          <w:rFonts w:hint="eastAsia" w:ascii="Times New Roman" w:hAnsi="Times New Roman"/>
        </w:rPr>
        <w:t>（</w:t>
      </w:r>
      <w:r>
        <w:rPr>
          <w:rFonts w:ascii="Times New Roman" w:hAnsi="Times New Roman"/>
        </w:rPr>
        <w:t>9）投标人未提报承诺书的。</w:t>
      </w:r>
    </w:p>
    <w:p w14:paraId="5699B59D">
      <w:pPr>
        <w:ind w:firstLine="359" w:firstLineChars="171"/>
      </w:pPr>
      <w:r>
        <w:rPr>
          <w:rFonts w:hint="eastAsia" w:ascii="Times New Roman" w:hAnsi="Times New Roman"/>
        </w:rPr>
        <w:t>5</w:t>
      </w:r>
      <w:r>
        <w:rPr>
          <w:rFonts w:ascii="Times New Roman" w:hAnsi="Times New Roman"/>
        </w:rPr>
        <w:t>.4</w:t>
      </w:r>
      <w:r>
        <w:t>电子投标文件无法解密的，其投标</w:t>
      </w:r>
      <w:r>
        <w:rPr>
          <w:rFonts w:hint="eastAsia"/>
        </w:rPr>
        <w:t>作</w:t>
      </w:r>
      <w:r>
        <w:t>无效投标处理。</w:t>
      </w:r>
    </w:p>
    <w:p w14:paraId="3E91D942">
      <w:pPr>
        <w:pStyle w:val="3"/>
        <w:ind w:left="426"/>
      </w:pPr>
      <w:bookmarkStart w:id="241" w:name="_Toc152042338"/>
      <w:bookmarkStart w:id="242" w:name="_Toc247513986"/>
      <w:bookmarkStart w:id="243" w:name="_Toc247527587"/>
      <w:bookmarkStart w:id="244" w:name="_Toc98503889"/>
      <w:bookmarkStart w:id="245" w:name="_Toc152045562"/>
      <w:bookmarkStart w:id="246" w:name="_Toc115196029"/>
      <w:bookmarkStart w:id="247" w:name="_Toc144974530"/>
      <w:r>
        <w:rPr>
          <w:rFonts w:hint="eastAsia"/>
        </w:rPr>
        <w:t>6. 评标</w:t>
      </w:r>
      <w:bookmarkEnd w:id="241"/>
      <w:bookmarkEnd w:id="242"/>
      <w:bookmarkEnd w:id="243"/>
      <w:bookmarkEnd w:id="244"/>
      <w:bookmarkEnd w:id="245"/>
      <w:bookmarkEnd w:id="246"/>
      <w:bookmarkEnd w:id="247"/>
    </w:p>
    <w:p w14:paraId="04DE5788">
      <w:pPr>
        <w:pStyle w:val="4"/>
        <w:spacing w:before="0" w:after="0" w:line="360" w:lineRule="auto"/>
        <w:ind w:firstLine="424" w:firstLineChars="202"/>
        <w:rPr>
          <w:rFonts w:ascii="Times New Roman" w:hAnsi="Times New Roman" w:eastAsia="宋体"/>
          <w:bCs w:val="0"/>
          <w:sz w:val="21"/>
          <w:szCs w:val="24"/>
        </w:rPr>
      </w:pPr>
      <w:bookmarkStart w:id="248" w:name="_Toc247513987"/>
      <w:bookmarkStart w:id="249" w:name="_Toc247527588"/>
      <w:bookmarkStart w:id="250" w:name="_Toc152042339"/>
      <w:bookmarkStart w:id="251" w:name="_Toc152045563"/>
      <w:bookmarkStart w:id="252" w:name="_Toc144974531"/>
      <w:bookmarkStart w:id="253" w:name="_Toc98503890"/>
      <w:r>
        <w:rPr>
          <w:rFonts w:hint="eastAsia" w:ascii="Times New Roman" w:hAnsi="Times New Roman" w:eastAsia="宋体"/>
          <w:bCs w:val="0"/>
          <w:sz w:val="21"/>
          <w:szCs w:val="24"/>
        </w:rPr>
        <w:t>6.1 评标委员会</w:t>
      </w:r>
      <w:bookmarkEnd w:id="248"/>
      <w:bookmarkEnd w:id="249"/>
      <w:bookmarkEnd w:id="250"/>
      <w:bookmarkEnd w:id="251"/>
      <w:bookmarkEnd w:id="252"/>
      <w:bookmarkEnd w:id="253"/>
    </w:p>
    <w:p w14:paraId="30632DE3">
      <w:pPr>
        <w:ind w:firstLine="420" w:firstLineChars="200"/>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656D97">
      <w:pPr>
        <w:ind w:firstLine="420" w:firstLineChars="200"/>
      </w:pPr>
      <w:r>
        <w:rPr>
          <w:rFonts w:hint="eastAsia"/>
        </w:rPr>
        <w:t>6.1.2 评标委员会成员有下列情形之一的，应当回避：</w:t>
      </w:r>
    </w:p>
    <w:p w14:paraId="5E51C3C2">
      <w:pPr>
        <w:ind w:firstLine="420" w:firstLineChars="200"/>
      </w:pPr>
      <w:r>
        <w:rPr>
          <w:rFonts w:hint="eastAsia"/>
        </w:rPr>
        <w:t>（1）投标人或投标人主要负责人的近亲属；</w:t>
      </w:r>
    </w:p>
    <w:p w14:paraId="71DC747E">
      <w:pPr>
        <w:ind w:firstLine="420" w:firstLineChars="200"/>
      </w:pPr>
      <w:r>
        <w:rPr>
          <w:rFonts w:hint="eastAsia"/>
        </w:rPr>
        <w:t>（2）项目主管部门或者行政监督部门的人员；</w:t>
      </w:r>
    </w:p>
    <w:p w14:paraId="6D5E3497">
      <w:pPr>
        <w:ind w:firstLine="420" w:firstLineChars="200"/>
      </w:pPr>
      <w:r>
        <w:rPr>
          <w:rFonts w:hint="eastAsia"/>
        </w:rPr>
        <w:t>（3）与投标人有经济利益关系，可能影响对投标公正评审的；</w:t>
      </w:r>
    </w:p>
    <w:p w14:paraId="646F80D7">
      <w:pPr>
        <w:ind w:firstLine="420" w:firstLineChars="200"/>
      </w:pPr>
      <w:r>
        <w:rPr>
          <w:rFonts w:hint="eastAsia"/>
        </w:rPr>
        <w:t>（4）曾因在招标、评标以及其他与招标投标有关活动中从事违法行为而受过行政处罚或刑事处罚的；</w:t>
      </w:r>
    </w:p>
    <w:p w14:paraId="067A359E">
      <w:pPr>
        <w:ind w:firstLine="420" w:firstLineChars="200"/>
      </w:pPr>
      <w:r>
        <w:rPr>
          <w:rFonts w:hint="eastAsia"/>
        </w:rPr>
        <w:t>（5）与投标人有其他利害关系。</w:t>
      </w:r>
    </w:p>
    <w:p w14:paraId="722F12AE">
      <w:pPr>
        <w:pStyle w:val="4"/>
        <w:spacing w:before="0" w:after="0" w:line="360" w:lineRule="auto"/>
        <w:ind w:firstLine="424" w:firstLineChars="202"/>
        <w:rPr>
          <w:rFonts w:ascii="Times New Roman" w:hAnsi="Times New Roman" w:eastAsia="宋体"/>
          <w:bCs w:val="0"/>
          <w:sz w:val="21"/>
          <w:szCs w:val="24"/>
        </w:rPr>
      </w:pPr>
      <w:bookmarkStart w:id="254" w:name="_Toc247513988"/>
      <w:bookmarkStart w:id="255" w:name="_Toc247527589"/>
      <w:bookmarkStart w:id="256" w:name="_Toc152045564"/>
      <w:bookmarkStart w:id="257" w:name="_Toc98503891"/>
      <w:bookmarkStart w:id="258" w:name="_Toc152042340"/>
      <w:bookmarkStart w:id="259" w:name="_Toc144974532"/>
      <w:r>
        <w:rPr>
          <w:rFonts w:hint="eastAsia" w:ascii="Times New Roman" w:hAnsi="Times New Roman" w:eastAsia="宋体"/>
          <w:bCs w:val="0"/>
          <w:sz w:val="21"/>
          <w:szCs w:val="24"/>
        </w:rPr>
        <w:t>6.2 评标原则</w:t>
      </w:r>
      <w:bookmarkEnd w:id="254"/>
      <w:bookmarkEnd w:id="255"/>
      <w:bookmarkEnd w:id="256"/>
      <w:bookmarkEnd w:id="257"/>
      <w:bookmarkEnd w:id="258"/>
      <w:bookmarkEnd w:id="259"/>
      <w:r>
        <w:rPr>
          <w:rFonts w:ascii="Times New Roman" w:hAnsi="Times New Roman" w:eastAsia="宋体"/>
          <w:bCs w:val="0"/>
          <w:sz w:val="21"/>
          <w:szCs w:val="24"/>
        </w:rPr>
        <w:tab/>
      </w:r>
    </w:p>
    <w:p w14:paraId="7DA045C0">
      <w:pPr>
        <w:ind w:firstLine="420" w:firstLineChars="200"/>
      </w:pPr>
      <w:r>
        <w:rPr>
          <w:rFonts w:hint="eastAsia"/>
        </w:rPr>
        <w:t>评标活动遵循公平、公正、科学和择优的原则依法进行，任何单位和个人不得非法干预或影响评标过程和结果。</w:t>
      </w:r>
    </w:p>
    <w:p w14:paraId="67DA655F">
      <w:pPr>
        <w:pStyle w:val="4"/>
        <w:spacing w:before="0" w:after="0" w:line="360" w:lineRule="auto"/>
        <w:ind w:firstLine="424" w:firstLineChars="202"/>
        <w:rPr>
          <w:rFonts w:ascii="Times New Roman" w:hAnsi="Times New Roman" w:eastAsia="宋体"/>
          <w:bCs w:val="0"/>
          <w:sz w:val="21"/>
          <w:szCs w:val="24"/>
        </w:rPr>
      </w:pPr>
      <w:bookmarkStart w:id="260" w:name="_Toc98503892"/>
      <w:bookmarkStart w:id="261" w:name="_Toc247527590"/>
      <w:bookmarkStart w:id="262" w:name="_Toc247513989"/>
      <w:bookmarkStart w:id="263" w:name="_Toc152045565"/>
      <w:bookmarkStart w:id="264" w:name="_Toc152042341"/>
      <w:bookmarkStart w:id="265" w:name="_Toc144974533"/>
      <w:r>
        <w:rPr>
          <w:rFonts w:hint="eastAsia" w:ascii="Times New Roman" w:hAnsi="Times New Roman" w:eastAsia="宋体"/>
          <w:bCs w:val="0"/>
          <w:sz w:val="21"/>
          <w:szCs w:val="24"/>
        </w:rPr>
        <w:t>6.3 评标</w:t>
      </w:r>
      <w:bookmarkEnd w:id="260"/>
      <w:bookmarkEnd w:id="261"/>
      <w:bookmarkEnd w:id="262"/>
      <w:bookmarkEnd w:id="263"/>
      <w:bookmarkEnd w:id="264"/>
      <w:bookmarkEnd w:id="265"/>
    </w:p>
    <w:p w14:paraId="5475F522">
      <w:pPr>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p w14:paraId="63F8D917">
      <w:pPr>
        <w:pStyle w:val="3"/>
        <w:ind w:left="426"/>
      </w:pPr>
      <w:bookmarkStart w:id="266" w:name="_Toc152042342"/>
      <w:bookmarkStart w:id="267" w:name="_Toc152045566"/>
      <w:bookmarkStart w:id="268" w:name="_Toc144974534"/>
      <w:bookmarkStart w:id="269" w:name="_Toc247527591"/>
      <w:bookmarkStart w:id="270" w:name="_Toc247513990"/>
      <w:bookmarkStart w:id="271" w:name="_Toc98503893"/>
      <w:bookmarkStart w:id="272" w:name="_Toc115196030"/>
      <w:r>
        <w:rPr>
          <w:rFonts w:hint="eastAsia"/>
        </w:rPr>
        <w:t>7. 合同授予</w:t>
      </w:r>
      <w:bookmarkEnd w:id="266"/>
      <w:bookmarkEnd w:id="267"/>
      <w:bookmarkEnd w:id="268"/>
      <w:bookmarkEnd w:id="269"/>
      <w:bookmarkEnd w:id="270"/>
      <w:bookmarkEnd w:id="271"/>
      <w:bookmarkEnd w:id="272"/>
    </w:p>
    <w:p w14:paraId="1DC7B28F">
      <w:pPr>
        <w:pStyle w:val="4"/>
        <w:spacing w:before="0" w:after="0" w:line="360" w:lineRule="auto"/>
        <w:ind w:firstLine="424" w:firstLineChars="202"/>
        <w:rPr>
          <w:rFonts w:ascii="Times New Roman" w:hAnsi="Times New Roman" w:eastAsia="宋体"/>
          <w:bCs w:val="0"/>
          <w:sz w:val="21"/>
          <w:szCs w:val="24"/>
        </w:rPr>
      </w:pPr>
      <w:bookmarkStart w:id="273" w:name="_Toc144974535"/>
      <w:bookmarkStart w:id="274" w:name="_Toc247527592"/>
      <w:bookmarkStart w:id="275" w:name="_Toc152045567"/>
      <w:bookmarkStart w:id="276" w:name="_Toc300834989"/>
      <w:bookmarkStart w:id="277" w:name="_Toc98503894"/>
      <w:bookmarkStart w:id="278" w:name="_Toc152042343"/>
      <w:bookmarkStart w:id="279" w:name="_Toc247513991"/>
      <w:bookmarkStart w:id="280" w:name="_Toc247513995"/>
      <w:bookmarkStart w:id="281" w:name="_Toc144974539"/>
      <w:bookmarkStart w:id="282" w:name="_Toc247527596"/>
      <w:bookmarkStart w:id="283" w:name="_Toc152042347"/>
      <w:bookmarkStart w:id="284" w:name="_Toc152045571"/>
      <w:r>
        <w:rPr>
          <w:rFonts w:hint="eastAsia" w:ascii="Times New Roman" w:hAnsi="Times New Roman" w:eastAsia="宋体"/>
          <w:bCs w:val="0"/>
          <w:sz w:val="21"/>
          <w:szCs w:val="24"/>
        </w:rPr>
        <w:t>7.1 定标方式</w:t>
      </w:r>
      <w:bookmarkEnd w:id="273"/>
      <w:bookmarkEnd w:id="274"/>
      <w:bookmarkEnd w:id="275"/>
      <w:bookmarkEnd w:id="276"/>
      <w:bookmarkEnd w:id="277"/>
      <w:bookmarkEnd w:id="278"/>
      <w:bookmarkEnd w:id="279"/>
    </w:p>
    <w:p w14:paraId="58F76A58">
      <w:pPr>
        <w:ind w:firstLine="420" w:firstLineChars="200"/>
      </w:pPr>
      <w:r>
        <w:rPr>
          <w:rFonts w:hint="eastAsia"/>
        </w:rPr>
        <w:t>招标人依据评标委员会推荐的中标候选人确定中标人，评标委员会推荐中标候选人的人数见投标人须知前附表。</w:t>
      </w:r>
    </w:p>
    <w:p w14:paraId="74ECFF4A">
      <w:pPr>
        <w:pStyle w:val="4"/>
        <w:spacing w:before="0" w:after="0" w:line="360" w:lineRule="auto"/>
        <w:ind w:firstLine="424" w:firstLineChars="202"/>
        <w:rPr>
          <w:rFonts w:ascii="Times New Roman" w:hAnsi="Times New Roman" w:eastAsia="宋体"/>
          <w:bCs w:val="0"/>
          <w:sz w:val="21"/>
          <w:szCs w:val="24"/>
        </w:rPr>
      </w:pPr>
      <w:bookmarkStart w:id="285" w:name="_Toc98503895"/>
      <w:bookmarkStart w:id="286" w:name="_Toc300834990"/>
      <w:r>
        <w:rPr>
          <w:rFonts w:hint="eastAsia" w:ascii="Times New Roman" w:hAnsi="Times New Roman" w:eastAsia="宋体"/>
          <w:bCs w:val="0"/>
          <w:sz w:val="21"/>
          <w:szCs w:val="24"/>
        </w:rPr>
        <w:t>7.2 中标候选人公示</w:t>
      </w:r>
      <w:bookmarkEnd w:id="285"/>
      <w:bookmarkEnd w:id="286"/>
      <w:r>
        <w:rPr>
          <w:rFonts w:hint="eastAsia" w:ascii="Times New Roman" w:hAnsi="Times New Roman" w:eastAsia="宋体"/>
          <w:bCs w:val="0"/>
          <w:sz w:val="21"/>
          <w:szCs w:val="24"/>
        </w:rPr>
        <w:t>及中标结果公告</w:t>
      </w:r>
    </w:p>
    <w:p w14:paraId="18260B2A">
      <w:pPr>
        <w:ind w:firstLine="420" w:firstLineChars="200"/>
      </w:pPr>
      <w:r>
        <w:rPr>
          <w:rFonts w:hint="eastAsia"/>
        </w:rPr>
        <w:t>招标人在投标人须知前附表规定的媒介发布中标候选人公示</w:t>
      </w:r>
      <w:r>
        <w:rPr>
          <w:rFonts w:hint="eastAsia" w:ascii="Times New Roman" w:hAnsi="Times New Roman"/>
          <w:bCs/>
        </w:rPr>
        <w:t>及中标结果公告</w:t>
      </w:r>
      <w:r>
        <w:rPr>
          <w:rFonts w:hint="eastAsia"/>
        </w:rPr>
        <w:t>。</w:t>
      </w:r>
    </w:p>
    <w:p w14:paraId="72F9A6A9">
      <w:pPr>
        <w:pStyle w:val="4"/>
        <w:spacing w:before="0" w:after="0" w:line="360" w:lineRule="auto"/>
        <w:ind w:firstLine="424" w:firstLineChars="202"/>
        <w:rPr>
          <w:rFonts w:ascii="Times New Roman" w:hAnsi="Times New Roman" w:eastAsia="宋体"/>
          <w:bCs w:val="0"/>
          <w:sz w:val="21"/>
          <w:szCs w:val="24"/>
        </w:rPr>
      </w:pPr>
      <w:bookmarkStart w:id="287" w:name="_Toc152042344"/>
      <w:bookmarkStart w:id="288" w:name="_Toc300834991"/>
      <w:bookmarkStart w:id="289" w:name="_Toc247527593"/>
      <w:bookmarkStart w:id="290" w:name="_Toc247513992"/>
      <w:bookmarkStart w:id="291" w:name="_Toc152045568"/>
      <w:bookmarkStart w:id="292" w:name="_Toc98503896"/>
      <w:bookmarkStart w:id="293" w:name="_Toc144974536"/>
      <w:r>
        <w:rPr>
          <w:rFonts w:hint="eastAsia" w:ascii="Times New Roman" w:hAnsi="Times New Roman" w:eastAsia="宋体"/>
          <w:bCs w:val="0"/>
          <w:sz w:val="21"/>
          <w:szCs w:val="24"/>
        </w:rPr>
        <w:t>7.3 中标通知</w:t>
      </w:r>
      <w:bookmarkEnd w:id="287"/>
      <w:bookmarkEnd w:id="288"/>
      <w:bookmarkEnd w:id="289"/>
      <w:bookmarkEnd w:id="290"/>
      <w:bookmarkEnd w:id="291"/>
      <w:bookmarkEnd w:id="292"/>
      <w:bookmarkEnd w:id="293"/>
    </w:p>
    <w:p w14:paraId="5BE40C62">
      <w:pPr>
        <w:ind w:firstLine="420" w:firstLineChars="200"/>
      </w:pPr>
      <w:r>
        <w:rPr>
          <w:rFonts w:hint="eastAsia"/>
        </w:rPr>
        <w:t>在本章第3.3款规定的投标有效期内，招标人以书面形式向中标人发出中标通知书，同时将中标结果通知未中标的投标人。</w:t>
      </w:r>
    </w:p>
    <w:p w14:paraId="442D587B">
      <w:pPr>
        <w:pStyle w:val="4"/>
        <w:spacing w:before="0" w:after="0" w:line="360" w:lineRule="auto"/>
        <w:ind w:firstLine="424" w:firstLineChars="202"/>
        <w:rPr>
          <w:rFonts w:ascii="Times New Roman" w:hAnsi="Times New Roman" w:eastAsia="宋体"/>
          <w:bCs w:val="0"/>
          <w:sz w:val="21"/>
          <w:szCs w:val="24"/>
        </w:rPr>
      </w:pPr>
      <w:bookmarkStart w:id="294" w:name="_Toc152045569"/>
      <w:bookmarkStart w:id="295" w:name="_Toc300834992"/>
      <w:bookmarkStart w:id="296" w:name="_Toc247527594"/>
      <w:bookmarkStart w:id="297" w:name="_Toc98503897"/>
      <w:bookmarkStart w:id="298" w:name="_Toc247513993"/>
      <w:bookmarkStart w:id="299" w:name="_Toc152042345"/>
      <w:bookmarkStart w:id="300" w:name="_Toc144974537"/>
      <w:r>
        <w:rPr>
          <w:rFonts w:hint="eastAsia" w:ascii="Times New Roman" w:hAnsi="Times New Roman" w:eastAsia="宋体"/>
          <w:bCs w:val="0"/>
          <w:sz w:val="21"/>
          <w:szCs w:val="24"/>
        </w:rPr>
        <w:t>7.4 履约担保</w:t>
      </w:r>
      <w:bookmarkEnd w:id="294"/>
      <w:bookmarkEnd w:id="295"/>
      <w:bookmarkEnd w:id="296"/>
      <w:bookmarkEnd w:id="297"/>
      <w:bookmarkEnd w:id="298"/>
      <w:bookmarkEnd w:id="299"/>
      <w:bookmarkEnd w:id="300"/>
    </w:p>
    <w:p w14:paraId="204C5282">
      <w:pPr>
        <w:ind w:firstLine="420" w:firstLineChars="200"/>
      </w:pPr>
      <w:r>
        <w:rPr>
          <w:rFonts w:hint="eastAsia"/>
        </w:rPr>
        <w:t>7.4.1 在签订合同前，中标人应按投标人须知前附表规定的担保形式和招标文件第四章“合同条款及格式”规定的或者事先经过招标人书面认可的履约担保格式向招标人提交履约担保。</w:t>
      </w:r>
    </w:p>
    <w:p w14:paraId="0CD1B451">
      <w:pPr>
        <w:ind w:firstLine="420" w:firstLineChars="200"/>
      </w:pPr>
      <w:r>
        <w:rPr>
          <w:rFonts w:hint="eastAsia"/>
        </w:rPr>
        <w:t>7.4.2 中标人不能按本章第7.4.1项要求提交履约担保的，视为放弃中标，其投标保证金不予退还，给招标人造成的损失超过投标保证金数额的，中标人还应当对超过部分予以赔偿。</w:t>
      </w:r>
    </w:p>
    <w:p w14:paraId="53162CE8">
      <w:pPr>
        <w:pStyle w:val="4"/>
        <w:spacing w:before="0" w:after="0" w:line="360" w:lineRule="auto"/>
        <w:ind w:firstLine="424" w:firstLineChars="202"/>
        <w:rPr>
          <w:rFonts w:ascii="Times New Roman" w:hAnsi="Times New Roman" w:eastAsia="宋体"/>
          <w:bCs w:val="0"/>
          <w:sz w:val="21"/>
          <w:szCs w:val="24"/>
        </w:rPr>
      </w:pPr>
      <w:bookmarkStart w:id="301" w:name="_Toc300834993"/>
      <w:bookmarkStart w:id="302" w:name="_Toc247513994"/>
      <w:bookmarkStart w:id="303" w:name="_Toc152042346"/>
      <w:bookmarkStart w:id="304" w:name="_Toc144974538"/>
      <w:bookmarkStart w:id="305" w:name="_Toc247527595"/>
      <w:bookmarkStart w:id="306" w:name="_Toc152045570"/>
      <w:bookmarkStart w:id="307" w:name="_Toc98503898"/>
      <w:r>
        <w:rPr>
          <w:rFonts w:hint="eastAsia" w:ascii="Times New Roman" w:hAnsi="Times New Roman" w:eastAsia="宋体"/>
          <w:bCs w:val="0"/>
          <w:sz w:val="21"/>
          <w:szCs w:val="24"/>
        </w:rPr>
        <w:t>7.5 签订合同</w:t>
      </w:r>
      <w:bookmarkEnd w:id="301"/>
      <w:bookmarkEnd w:id="302"/>
      <w:bookmarkEnd w:id="303"/>
      <w:bookmarkEnd w:id="304"/>
      <w:bookmarkEnd w:id="305"/>
      <w:bookmarkEnd w:id="306"/>
      <w:bookmarkEnd w:id="307"/>
    </w:p>
    <w:p w14:paraId="4C642701">
      <w:pPr>
        <w:ind w:firstLine="420" w:firstLineChars="200"/>
      </w:pPr>
      <w:r>
        <w:rPr>
          <w:rFonts w:hint="eastAsia"/>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40E3AF7A">
      <w:pPr>
        <w:ind w:firstLine="420" w:firstLineChars="200"/>
      </w:pPr>
      <w:r>
        <w:rPr>
          <w:rFonts w:hint="eastAsia"/>
        </w:rPr>
        <w:t xml:space="preserve">7.5.2 发出中标通知书后，招标人无正当理由拒签合同的，招标人向中标人退还投标保证金；给中标人造成损失的，还应当赔偿损失。 </w:t>
      </w:r>
    </w:p>
    <w:p w14:paraId="5898707E">
      <w:pPr>
        <w:tabs>
          <w:tab w:val="left" w:pos="420"/>
        </w:tabs>
        <w:wordWrap w:val="0"/>
        <w:ind w:firstLine="420" w:firstLineChars="200"/>
        <w:rPr>
          <w:woUserID w:val="1"/>
        </w:rPr>
      </w:pPr>
      <w:r>
        <w:t>7.5.3 因招标人系</w:t>
      </w:r>
      <w:r>
        <w:rPr>
          <w:rFonts w:hint="eastAsia"/>
        </w:rPr>
        <w:t>盐城市联鑫钢铁有限公司</w:t>
      </w:r>
      <w:r>
        <w:t>所属非法人单位，根据</w:t>
      </w:r>
      <w:r>
        <w:rPr>
          <w:rFonts w:hint="eastAsia"/>
        </w:rPr>
        <w:t>盐城市联鑫钢铁有限公司</w:t>
      </w:r>
      <w:r>
        <w:t>的规定和授权，招标人以</w:t>
      </w:r>
      <w:r>
        <w:rPr>
          <w:rFonts w:hint="eastAsia"/>
        </w:rPr>
        <w:t>盐城市联鑫钢铁有限公司</w:t>
      </w:r>
      <w:r>
        <w:t>名义签订合同。</w:t>
      </w:r>
    </w:p>
    <w:p w14:paraId="17A04DE9">
      <w:pPr>
        <w:pStyle w:val="3"/>
        <w:ind w:left="426"/>
      </w:pPr>
      <w:bookmarkStart w:id="308" w:name="_Toc115196031"/>
      <w:bookmarkStart w:id="309" w:name="_Toc294124200"/>
      <w:bookmarkStart w:id="310" w:name="_Toc98503899"/>
      <w:bookmarkStart w:id="311" w:name="_Toc179632589"/>
      <w:bookmarkStart w:id="312" w:name="_Toc529430059"/>
      <w:bookmarkStart w:id="313" w:name="_Toc437002017"/>
      <w:r>
        <w:rPr>
          <w:rFonts w:hint="eastAsia"/>
        </w:rPr>
        <w:t>8. 重新招标和不再招标</w:t>
      </w:r>
      <w:bookmarkEnd w:id="308"/>
      <w:bookmarkEnd w:id="309"/>
      <w:bookmarkEnd w:id="310"/>
      <w:bookmarkEnd w:id="311"/>
      <w:bookmarkEnd w:id="312"/>
      <w:bookmarkEnd w:id="313"/>
    </w:p>
    <w:p w14:paraId="68AF83B1">
      <w:pPr>
        <w:pStyle w:val="4"/>
        <w:spacing w:before="0" w:after="0" w:line="360" w:lineRule="auto"/>
        <w:ind w:firstLine="424" w:firstLineChars="202"/>
        <w:rPr>
          <w:rFonts w:ascii="Times New Roman" w:hAnsi="Times New Roman" w:eastAsia="宋体"/>
          <w:bCs w:val="0"/>
          <w:sz w:val="21"/>
          <w:szCs w:val="24"/>
        </w:rPr>
      </w:pPr>
      <w:bookmarkStart w:id="314" w:name="_Toc437002018"/>
      <w:bookmarkStart w:id="315" w:name="_Toc144974540"/>
      <w:bookmarkStart w:id="316" w:name="_Toc294124201"/>
      <w:bookmarkStart w:id="317" w:name="_Toc286929472"/>
      <w:bookmarkStart w:id="318" w:name="_Toc152045572"/>
      <w:bookmarkStart w:id="319" w:name="_Toc529430060"/>
      <w:bookmarkStart w:id="320" w:name="_Toc152042348"/>
      <w:bookmarkStart w:id="321" w:name="_Toc179632590"/>
      <w:bookmarkStart w:id="322" w:name="_Toc98503900"/>
      <w:bookmarkStart w:id="323" w:name="_Toc287015599"/>
      <w:r>
        <w:rPr>
          <w:rFonts w:hint="eastAsia" w:ascii="Times New Roman" w:hAnsi="Times New Roman" w:eastAsia="宋体"/>
          <w:bCs w:val="0"/>
          <w:sz w:val="21"/>
          <w:szCs w:val="24"/>
        </w:rPr>
        <w:t>8.1 重新招标</w:t>
      </w:r>
      <w:bookmarkEnd w:id="314"/>
      <w:bookmarkEnd w:id="315"/>
      <w:bookmarkEnd w:id="316"/>
      <w:bookmarkEnd w:id="317"/>
      <w:bookmarkEnd w:id="318"/>
      <w:bookmarkEnd w:id="319"/>
      <w:bookmarkEnd w:id="320"/>
      <w:bookmarkEnd w:id="321"/>
      <w:bookmarkEnd w:id="322"/>
      <w:bookmarkEnd w:id="323"/>
    </w:p>
    <w:p w14:paraId="195B3E7C">
      <w:pPr>
        <w:ind w:firstLine="420" w:firstLineChars="200"/>
      </w:pPr>
      <w:r>
        <w:rPr>
          <w:rFonts w:hint="eastAsia"/>
        </w:rPr>
        <w:t>有下列情形之一的，招标人将重新招标：</w:t>
      </w:r>
    </w:p>
    <w:p w14:paraId="48338F01">
      <w:pPr>
        <w:ind w:firstLine="420" w:firstLineChars="200"/>
      </w:pPr>
      <w:r>
        <w:rPr>
          <w:rFonts w:hint="eastAsia"/>
        </w:rPr>
        <w:t>（1）投标截止时间止，投标人少于3个的；</w:t>
      </w:r>
    </w:p>
    <w:p w14:paraId="0A5A3221">
      <w:pPr>
        <w:ind w:firstLine="420" w:firstLineChars="200"/>
      </w:pPr>
      <w:r>
        <w:rPr>
          <w:rFonts w:hint="eastAsia"/>
        </w:rPr>
        <w:t>（2）评标委员会对投标作废标处理后有效投标不足3个，或者因其他原因使得投标明显缺乏竞争的；</w:t>
      </w:r>
    </w:p>
    <w:p w14:paraId="2DBDFC7E">
      <w:pPr>
        <w:ind w:firstLine="420" w:firstLineChars="200"/>
      </w:pPr>
      <w:r>
        <w:rPr>
          <w:rFonts w:hint="eastAsia"/>
        </w:rPr>
        <w:t>（3）经评标委员会评审后否决所有投标的。</w:t>
      </w:r>
    </w:p>
    <w:p w14:paraId="216011AB">
      <w:pPr>
        <w:pStyle w:val="4"/>
        <w:spacing w:before="0" w:after="0" w:line="360" w:lineRule="auto"/>
        <w:ind w:firstLine="424" w:firstLineChars="202"/>
        <w:rPr>
          <w:rFonts w:ascii="Times New Roman" w:hAnsi="Times New Roman" w:eastAsia="宋体"/>
          <w:bCs w:val="0"/>
          <w:sz w:val="21"/>
          <w:szCs w:val="24"/>
        </w:rPr>
      </w:pPr>
      <w:bookmarkStart w:id="324" w:name="_Toc179632591"/>
      <w:bookmarkStart w:id="325" w:name="_Toc287015600"/>
      <w:bookmarkStart w:id="326" w:name="_Toc529430061"/>
      <w:bookmarkStart w:id="327" w:name="_Toc286929473"/>
      <w:bookmarkStart w:id="328" w:name="_Toc144974541"/>
      <w:bookmarkStart w:id="329" w:name="_Toc152045573"/>
      <w:bookmarkStart w:id="330" w:name="_Toc294124202"/>
      <w:bookmarkStart w:id="331" w:name="_Toc152042349"/>
      <w:bookmarkStart w:id="332" w:name="_Toc98503901"/>
      <w:bookmarkStart w:id="333" w:name="_Toc437002019"/>
      <w:r>
        <w:rPr>
          <w:rFonts w:hint="eastAsia" w:ascii="Times New Roman" w:hAnsi="Times New Roman" w:eastAsia="宋体"/>
          <w:bCs w:val="0"/>
          <w:sz w:val="21"/>
          <w:szCs w:val="24"/>
        </w:rPr>
        <w:t>8.2 不再招标</w:t>
      </w:r>
      <w:bookmarkEnd w:id="324"/>
      <w:bookmarkEnd w:id="325"/>
      <w:bookmarkEnd w:id="326"/>
      <w:bookmarkEnd w:id="327"/>
      <w:bookmarkEnd w:id="328"/>
      <w:bookmarkEnd w:id="329"/>
      <w:bookmarkEnd w:id="330"/>
      <w:bookmarkEnd w:id="331"/>
      <w:bookmarkEnd w:id="332"/>
      <w:bookmarkEnd w:id="333"/>
    </w:p>
    <w:p w14:paraId="44D8B717">
      <w:pPr>
        <w:ind w:firstLine="420" w:firstLineChars="200"/>
      </w:pPr>
      <w:r>
        <w:rPr>
          <w:rFonts w:hint="eastAsia"/>
        </w:rPr>
        <w:t>重新招标后投标人仍少于3个或者所有投标被否决的，属于必须审批或核准的工程建设项目，经原审批或核准部门批准后不再进行招标。</w:t>
      </w:r>
    </w:p>
    <w:p w14:paraId="7ABC0D95">
      <w:pPr>
        <w:pStyle w:val="3"/>
        <w:ind w:left="426"/>
      </w:pPr>
      <w:bookmarkStart w:id="334" w:name="_Toc98503902"/>
      <w:bookmarkStart w:id="335" w:name="_Toc115196032"/>
      <w:r>
        <w:rPr>
          <w:rFonts w:hint="eastAsia"/>
        </w:rPr>
        <w:t>9.</w:t>
      </w:r>
      <w:bookmarkEnd w:id="280"/>
      <w:bookmarkEnd w:id="281"/>
      <w:bookmarkEnd w:id="282"/>
      <w:bookmarkEnd w:id="283"/>
      <w:bookmarkEnd w:id="284"/>
      <w:bookmarkStart w:id="336" w:name="_Toc152042350"/>
      <w:bookmarkStart w:id="337" w:name="_Toc144974542"/>
      <w:bookmarkStart w:id="338" w:name="_Toc152045574"/>
      <w:bookmarkStart w:id="339" w:name="_Toc247527599"/>
      <w:bookmarkStart w:id="340" w:name="_Toc247513998"/>
      <w:r>
        <w:rPr>
          <w:rFonts w:hint="eastAsia"/>
        </w:rPr>
        <w:t xml:space="preserve"> 纪律和监督</w:t>
      </w:r>
      <w:bookmarkEnd w:id="334"/>
      <w:bookmarkEnd w:id="335"/>
      <w:bookmarkEnd w:id="336"/>
      <w:bookmarkEnd w:id="337"/>
      <w:bookmarkEnd w:id="338"/>
      <w:bookmarkEnd w:id="339"/>
      <w:bookmarkEnd w:id="340"/>
    </w:p>
    <w:p w14:paraId="72C1E276">
      <w:pPr>
        <w:pStyle w:val="4"/>
        <w:spacing w:before="0" w:after="0" w:line="360" w:lineRule="auto"/>
        <w:ind w:firstLine="424" w:firstLineChars="202"/>
        <w:rPr>
          <w:rFonts w:ascii="Times New Roman" w:hAnsi="Times New Roman" w:eastAsia="宋体"/>
          <w:bCs w:val="0"/>
          <w:sz w:val="21"/>
          <w:szCs w:val="24"/>
        </w:rPr>
      </w:pPr>
      <w:bookmarkStart w:id="341" w:name="_Toc152045575"/>
      <w:bookmarkStart w:id="342" w:name="_Toc247513999"/>
      <w:bookmarkStart w:id="343" w:name="_Toc247527600"/>
      <w:bookmarkStart w:id="344" w:name="_Toc152042351"/>
      <w:bookmarkStart w:id="345" w:name="_Toc98503903"/>
      <w:bookmarkStart w:id="346" w:name="_Toc144974543"/>
      <w:r>
        <w:rPr>
          <w:rFonts w:hint="eastAsia" w:ascii="Times New Roman" w:hAnsi="Times New Roman" w:eastAsia="宋体"/>
          <w:bCs w:val="0"/>
          <w:sz w:val="21"/>
          <w:szCs w:val="24"/>
        </w:rPr>
        <w:t>9.1 对招标人的纪律要求</w:t>
      </w:r>
      <w:bookmarkEnd w:id="341"/>
      <w:bookmarkEnd w:id="342"/>
      <w:bookmarkEnd w:id="343"/>
      <w:bookmarkEnd w:id="344"/>
      <w:bookmarkEnd w:id="345"/>
      <w:bookmarkEnd w:id="346"/>
    </w:p>
    <w:p w14:paraId="5298024B">
      <w:pPr>
        <w:ind w:firstLine="420" w:firstLineChars="200"/>
      </w:pPr>
      <w:r>
        <w:rPr>
          <w:rFonts w:hint="eastAsia"/>
        </w:rPr>
        <w:t>招标人不得泄露招标投标活动中应当保密的情况和资料，不得与投标人串通损害国家利益、社会公共利益或者他人合法权益。</w:t>
      </w:r>
    </w:p>
    <w:p w14:paraId="3EF9C789">
      <w:pPr>
        <w:pStyle w:val="4"/>
        <w:spacing w:before="0" w:after="0" w:line="360" w:lineRule="auto"/>
        <w:ind w:firstLine="424" w:firstLineChars="202"/>
        <w:rPr>
          <w:rFonts w:ascii="Times New Roman" w:hAnsi="Times New Roman" w:eastAsia="宋体"/>
          <w:bCs w:val="0"/>
          <w:sz w:val="21"/>
          <w:szCs w:val="24"/>
        </w:rPr>
      </w:pPr>
      <w:bookmarkStart w:id="347" w:name="_Toc144974544"/>
      <w:bookmarkStart w:id="348" w:name="_Toc247514000"/>
      <w:bookmarkStart w:id="349" w:name="_Toc152042352"/>
      <w:bookmarkStart w:id="350" w:name="_Toc247527601"/>
      <w:bookmarkStart w:id="351" w:name="_Toc152045576"/>
      <w:bookmarkStart w:id="352" w:name="_Toc98503904"/>
      <w:r>
        <w:rPr>
          <w:rFonts w:hint="eastAsia" w:ascii="Times New Roman" w:hAnsi="Times New Roman" w:eastAsia="宋体"/>
          <w:bCs w:val="0"/>
          <w:sz w:val="21"/>
          <w:szCs w:val="24"/>
        </w:rPr>
        <w:t>9.2 对投标人的纪律要求</w:t>
      </w:r>
      <w:bookmarkEnd w:id="347"/>
      <w:bookmarkEnd w:id="348"/>
      <w:bookmarkEnd w:id="349"/>
      <w:bookmarkEnd w:id="350"/>
      <w:bookmarkEnd w:id="351"/>
      <w:bookmarkEnd w:id="352"/>
    </w:p>
    <w:p w14:paraId="0E3DF295">
      <w:pPr>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1CFCAFC">
      <w:pPr>
        <w:pStyle w:val="4"/>
        <w:spacing w:before="0" w:after="0" w:line="360" w:lineRule="auto"/>
        <w:ind w:firstLine="424" w:firstLineChars="202"/>
        <w:rPr>
          <w:rFonts w:ascii="Times New Roman" w:hAnsi="Times New Roman" w:eastAsia="宋体"/>
          <w:bCs w:val="0"/>
          <w:sz w:val="21"/>
          <w:szCs w:val="24"/>
        </w:rPr>
      </w:pPr>
      <w:bookmarkStart w:id="353" w:name="_Toc152045577"/>
      <w:bookmarkStart w:id="354" w:name="_Toc98503905"/>
      <w:bookmarkStart w:id="355" w:name="_Toc152042353"/>
      <w:bookmarkStart w:id="356" w:name="_Toc247514001"/>
      <w:bookmarkStart w:id="357" w:name="_Toc144974545"/>
      <w:bookmarkStart w:id="358" w:name="_Toc247527602"/>
      <w:r>
        <w:rPr>
          <w:rFonts w:hint="eastAsia" w:ascii="Times New Roman" w:hAnsi="Times New Roman" w:eastAsia="宋体"/>
          <w:bCs w:val="0"/>
          <w:sz w:val="21"/>
          <w:szCs w:val="24"/>
        </w:rPr>
        <w:t>9.3 对评标委员会成员的纪律要求</w:t>
      </w:r>
      <w:bookmarkEnd w:id="353"/>
      <w:bookmarkEnd w:id="354"/>
      <w:bookmarkEnd w:id="355"/>
      <w:bookmarkEnd w:id="356"/>
      <w:bookmarkEnd w:id="357"/>
      <w:bookmarkEnd w:id="358"/>
    </w:p>
    <w:p w14:paraId="2253BE6C">
      <w:pPr>
        <w:ind w:firstLine="420" w:firstLineChars="200"/>
      </w:pPr>
      <w:r>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231A594">
      <w:pPr>
        <w:pStyle w:val="4"/>
        <w:spacing w:before="0" w:after="0" w:line="360" w:lineRule="auto"/>
        <w:ind w:firstLine="424" w:firstLineChars="202"/>
        <w:rPr>
          <w:rFonts w:ascii="Times New Roman" w:hAnsi="Times New Roman" w:eastAsia="宋体"/>
          <w:bCs w:val="0"/>
          <w:sz w:val="21"/>
          <w:szCs w:val="24"/>
        </w:rPr>
      </w:pPr>
      <w:bookmarkStart w:id="359" w:name="_Toc152045578"/>
      <w:bookmarkStart w:id="360" w:name="_Toc247514002"/>
      <w:bookmarkStart w:id="361" w:name="_Toc152042354"/>
      <w:bookmarkStart w:id="362" w:name="_Toc247527603"/>
      <w:bookmarkStart w:id="363" w:name="_Toc98503906"/>
      <w:bookmarkStart w:id="364" w:name="_Toc144974546"/>
      <w:r>
        <w:rPr>
          <w:rFonts w:hint="eastAsia" w:ascii="Times New Roman" w:hAnsi="Times New Roman" w:eastAsia="宋体"/>
          <w:bCs w:val="0"/>
          <w:sz w:val="21"/>
          <w:szCs w:val="24"/>
        </w:rPr>
        <w:t>9.4 对与评标活动有关的工作人员的纪律要求</w:t>
      </w:r>
      <w:bookmarkEnd w:id="359"/>
      <w:bookmarkEnd w:id="360"/>
      <w:bookmarkEnd w:id="361"/>
      <w:bookmarkEnd w:id="362"/>
      <w:bookmarkEnd w:id="363"/>
    </w:p>
    <w:p w14:paraId="31D53735">
      <w:pPr>
        <w:ind w:firstLine="420" w:firstLineChars="200"/>
      </w:pPr>
      <w:bookmarkStart w:id="365"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5"/>
    </w:p>
    <w:bookmarkEnd w:id="364"/>
    <w:p w14:paraId="57967B5B">
      <w:pPr>
        <w:pStyle w:val="3"/>
        <w:ind w:left="426"/>
      </w:pPr>
      <w:bookmarkStart w:id="366" w:name="_Toc115196033"/>
      <w:bookmarkStart w:id="367" w:name="_Toc152042357"/>
      <w:bookmarkStart w:id="368" w:name="_Toc247514004"/>
      <w:bookmarkStart w:id="369" w:name="_Toc144974547"/>
      <w:bookmarkStart w:id="370" w:name="_Toc98503908"/>
      <w:bookmarkStart w:id="371" w:name="_Toc247527605"/>
      <w:bookmarkStart w:id="372" w:name="_Toc152045580"/>
      <w:r>
        <w:rPr>
          <w:rFonts w:hint="eastAsia"/>
        </w:rPr>
        <w:t>10. 需要补充的其他内容</w:t>
      </w:r>
      <w:bookmarkEnd w:id="366"/>
      <w:bookmarkEnd w:id="367"/>
      <w:bookmarkEnd w:id="368"/>
      <w:bookmarkEnd w:id="369"/>
      <w:bookmarkEnd w:id="370"/>
      <w:bookmarkEnd w:id="371"/>
      <w:bookmarkEnd w:id="372"/>
    </w:p>
    <w:p w14:paraId="2466444E">
      <w:pPr>
        <w:ind w:firstLine="420" w:firstLineChars="200"/>
      </w:pPr>
      <w:r>
        <w:rPr>
          <w:rFonts w:hint="eastAsia"/>
        </w:rPr>
        <w:t>需要补充的其他内容：见投标人须知前附表。</w:t>
      </w:r>
    </w:p>
    <w:p w14:paraId="118D8FE1">
      <w:pPr>
        <w:pStyle w:val="2"/>
        <w:spacing w:after="0" w:line="360" w:lineRule="auto"/>
        <w:jc w:val="center"/>
      </w:pPr>
      <w:r>
        <w:br w:type="page"/>
      </w:r>
      <w:bookmarkStart w:id="373" w:name="_Toc115196035"/>
      <w:bookmarkStart w:id="374" w:name="_Toc152042375"/>
      <w:bookmarkStart w:id="375" w:name="_Toc247514022"/>
      <w:bookmarkStart w:id="376" w:name="_Toc247527623"/>
      <w:bookmarkStart w:id="377" w:name="_Toc98503910"/>
      <w:bookmarkStart w:id="378" w:name="_Toc144974565"/>
      <w:bookmarkStart w:id="379" w:name="_Toc152045598"/>
      <w:bookmarkStart w:id="380" w:name="_Hlk113625495"/>
      <w:r>
        <w:rPr>
          <w:rFonts w:hint="eastAsia"/>
        </w:rPr>
        <w:t>第三章 评标办法</w:t>
      </w:r>
      <w:bookmarkEnd w:id="373"/>
      <w:bookmarkEnd w:id="374"/>
      <w:bookmarkEnd w:id="375"/>
      <w:bookmarkEnd w:id="376"/>
      <w:bookmarkEnd w:id="377"/>
      <w:bookmarkEnd w:id="378"/>
      <w:bookmarkEnd w:id="379"/>
    </w:p>
    <w:p w14:paraId="49F57E93">
      <w:pPr>
        <w:pStyle w:val="3"/>
        <w:keepNext/>
        <w:keepLines/>
        <w:tabs>
          <w:tab w:val="clear" w:pos="425"/>
          <w:tab w:val="clear" w:pos="851"/>
        </w:tabs>
        <w:spacing w:before="260" w:after="260"/>
        <w:jc w:val="center"/>
        <w:rPr>
          <w:rFonts w:ascii="Arial" w:hAnsi="Arial" w:eastAsia="黑体"/>
          <w:sz w:val="32"/>
          <w:szCs w:val="32"/>
        </w:rPr>
      </w:pPr>
      <w:bookmarkStart w:id="381" w:name="_Toc98503911"/>
      <w:r>
        <w:rPr>
          <w:rFonts w:hint="eastAsia" w:ascii="Arial" w:hAnsi="Arial" w:eastAsia="黑体"/>
          <w:sz w:val="32"/>
          <w:szCs w:val="32"/>
        </w:rPr>
        <w:t xml:space="preserve"> </w:t>
      </w:r>
      <w:bookmarkStart w:id="382" w:name="_Toc115196036"/>
      <w:r>
        <w:rPr>
          <w:rFonts w:hint="eastAsia" w:ascii="Arial" w:hAnsi="Arial" w:eastAsia="黑体"/>
          <w:sz w:val="32"/>
          <w:szCs w:val="32"/>
        </w:rPr>
        <w:t>评标办法前附表</w:t>
      </w:r>
      <w:bookmarkEnd w:id="381"/>
      <w:bookmarkEnd w:id="382"/>
    </w:p>
    <w:tbl>
      <w:tblPr>
        <w:tblStyle w:val="46"/>
        <w:tblW w:w="8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003"/>
        <w:gridCol w:w="1572"/>
        <w:gridCol w:w="5226"/>
      </w:tblGrid>
      <w:tr w14:paraId="32CDC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8" w:type="dxa"/>
            <w:gridSpan w:val="2"/>
            <w:tcBorders>
              <w:top w:val="single" w:color="auto" w:sz="4" w:space="0"/>
              <w:bottom w:val="single" w:color="auto" w:sz="4" w:space="0"/>
              <w:right w:val="single" w:color="auto" w:sz="4" w:space="0"/>
            </w:tcBorders>
            <w:vAlign w:val="center"/>
          </w:tcPr>
          <w:p w14:paraId="4F1FD321">
            <w:pPr>
              <w:keepNext w:val="0"/>
              <w:keepLines w:val="0"/>
              <w:suppressLineNumbers w:val="0"/>
              <w:spacing w:before="0" w:beforeAutospacing="0" w:after="0" w:afterAutospacing="0" w:line="240" w:lineRule="auto"/>
              <w:ind w:left="0" w:right="0"/>
              <w:jc w:val="center"/>
              <w:rPr>
                <w:rFonts w:hint="default"/>
                <w:b/>
                <w:szCs w:val="21"/>
              </w:rPr>
            </w:pPr>
            <w:r>
              <w:rPr>
                <w:rFonts w:hint="default"/>
                <w:b/>
                <w:szCs w:val="21"/>
              </w:rPr>
              <w:t>条款号</w:t>
            </w:r>
          </w:p>
        </w:tc>
        <w:tc>
          <w:tcPr>
            <w:tcW w:w="1572" w:type="dxa"/>
            <w:tcBorders>
              <w:top w:val="single" w:color="auto" w:sz="4" w:space="0"/>
              <w:left w:val="single" w:color="auto" w:sz="4" w:space="0"/>
              <w:bottom w:val="single" w:color="auto" w:sz="4" w:space="0"/>
              <w:right w:val="single" w:color="auto" w:sz="4" w:space="0"/>
            </w:tcBorders>
            <w:vAlign w:val="center"/>
          </w:tcPr>
          <w:p w14:paraId="5F236AEB">
            <w:pPr>
              <w:keepNext w:val="0"/>
              <w:keepLines w:val="0"/>
              <w:suppressLineNumbers w:val="0"/>
              <w:spacing w:before="0" w:beforeAutospacing="0" w:after="0" w:afterAutospacing="0" w:line="240" w:lineRule="auto"/>
              <w:ind w:left="0" w:right="0"/>
              <w:jc w:val="center"/>
              <w:rPr>
                <w:rFonts w:hint="default"/>
                <w:b/>
                <w:szCs w:val="21"/>
              </w:rPr>
            </w:pPr>
            <w:r>
              <w:rPr>
                <w:rFonts w:hint="default"/>
                <w:b/>
                <w:szCs w:val="21"/>
              </w:rPr>
              <w:t>评审因素</w:t>
            </w:r>
          </w:p>
        </w:tc>
        <w:tc>
          <w:tcPr>
            <w:tcW w:w="5226" w:type="dxa"/>
            <w:tcBorders>
              <w:top w:val="single" w:color="auto" w:sz="4" w:space="0"/>
              <w:left w:val="single" w:color="auto" w:sz="4" w:space="0"/>
              <w:bottom w:val="single" w:color="auto" w:sz="4" w:space="0"/>
              <w:right w:val="single" w:color="auto" w:sz="4" w:space="0"/>
            </w:tcBorders>
            <w:vAlign w:val="center"/>
          </w:tcPr>
          <w:p w14:paraId="2EBA9C7F">
            <w:pPr>
              <w:keepNext w:val="0"/>
              <w:keepLines w:val="0"/>
              <w:suppressLineNumbers w:val="0"/>
              <w:spacing w:before="0" w:beforeAutospacing="0" w:after="0" w:afterAutospacing="0" w:line="240" w:lineRule="auto"/>
              <w:ind w:left="0" w:right="0"/>
              <w:jc w:val="center"/>
              <w:rPr>
                <w:rFonts w:hint="default"/>
                <w:b/>
                <w:szCs w:val="21"/>
              </w:rPr>
            </w:pPr>
            <w:r>
              <w:rPr>
                <w:rFonts w:hint="default"/>
                <w:b/>
                <w:szCs w:val="21"/>
              </w:rPr>
              <w:t>评审标准</w:t>
            </w:r>
          </w:p>
        </w:tc>
      </w:tr>
      <w:tr w14:paraId="6C8B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restart"/>
            <w:tcBorders>
              <w:top w:val="single" w:color="auto" w:sz="4" w:space="0"/>
              <w:bottom w:val="single" w:color="auto" w:sz="4" w:space="0"/>
              <w:right w:val="single" w:color="auto" w:sz="4" w:space="0"/>
            </w:tcBorders>
            <w:vAlign w:val="center"/>
          </w:tcPr>
          <w:p w14:paraId="1BC257E3">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2.1.1</w:t>
            </w:r>
          </w:p>
        </w:tc>
        <w:tc>
          <w:tcPr>
            <w:tcW w:w="1003" w:type="dxa"/>
            <w:vMerge w:val="restart"/>
            <w:tcBorders>
              <w:top w:val="single" w:color="auto" w:sz="4" w:space="0"/>
              <w:bottom w:val="single" w:color="auto" w:sz="4" w:space="0"/>
              <w:right w:val="single" w:color="auto" w:sz="4" w:space="0"/>
            </w:tcBorders>
            <w:vAlign w:val="center"/>
          </w:tcPr>
          <w:p w14:paraId="7AA18759">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形式评审标准</w:t>
            </w:r>
          </w:p>
        </w:tc>
        <w:tc>
          <w:tcPr>
            <w:tcW w:w="1572" w:type="dxa"/>
            <w:tcBorders>
              <w:top w:val="single" w:color="auto" w:sz="4" w:space="0"/>
              <w:left w:val="single" w:color="auto" w:sz="4" w:space="0"/>
              <w:bottom w:val="single" w:color="auto" w:sz="4" w:space="0"/>
              <w:right w:val="single" w:color="auto" w:sz="4" w:space="0"/>
            </w:tcBorders>
            <w:vAlign w:val="center"/>
          </w:tcPr>
          <w:p w14:paraId="5FA60079">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投标人名称</w:t>
            </w:r>
          </w:p>
        </w:tc>
        <w:tc>
          <w:tcPr>
            <w:tcW w:w="5226" w:type="dxa"/>
            <w:tcBorders>
              <w:top w:val="single" w:color="auto" w:sz="4" w:space="0"/>
              <w:left w:val="single" w:color="auto" w:sz="4" w:space="0"/>
              <w:bottom w:val="single" w:color="auto" w:sz="4" w:space="0"/>
              <w:right w:val="single" w:color="auto" w:sz="4" w:space="0"/>
            </w:tcBorders>
            <w:vAlign w:val="center"/>
          </w:tcPr>
          <w:p w14:paraId="478C5A27">
            <w:pPr>
              <w:keepNext w:val="0"/>
              <w:keepLines w:val="0"/>
              <w:suppressLineNumbers w:val="0"/>
              <w:spacing w:before="0" w:beforeAutospacing="0" w:after="0" w:afterAutospacing="0" w:line="240" w:lineRule="auto"/>
              <w:ind w:left="0" w:right="0"/>
              <w:jc w:val="left"/>
              <w:rPr>
                <w:rFonts w:hint="default"/>
                <w:szCs w:val="21"/>
              </w:rPr>
            </w:pPr>
            <w:r>
              <w:rPr>
                <w:rFonts w:hint="default"/>
                <w:color w:val="000000"/>
                <w:szCs w:val="21"/>
              </w:rPr>
              <w:t>与营业执照、资质证书</w:t>
            </w:r>
            <w:r>
              <w:rPr>
                <w:rFonts w:hint="eastAsia"/>
                <w:color w:val="000000"/>
                <w:szCs w:val="21"/>
              </w:rPr>
              <w:t>、安全生产许可证</w:t>
            </w:r>
            <w:r>
              <w:rPr>
                <w:rFonts w:hint="default"/>
                <w:color w:val="000000"/>
                <w:szCs w:val="21"/>
              </w:rPr>
              <w:t>一致</w:t>
            </w:r>
          </w:p>
        </w:tc>
      </w:tr>
      <w:tr w14:paraId="59BFA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47E56C91">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0028F59B">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3E880FE6">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投标函签字盖章</w:t>
            </w:r>
          </w:p>
        </w:tc>
        <w:tc>
          <w:tcPr>
            <w:tcW w:w="5226" w:type="dxa"/>
            <w:tcBorders>
              <w:top w:val="single" w:color="auto" w:sz="4" w:space="0"/>
              <w:left w:val="single" w:color="auto" w:sz="4" w:space="0"/>
              <w:bottom w:val="single" w:color="auto" w:sz="4" w:space="0"/>
              <w:right w:val="single" w:color="auto" w:sz="4" w:space="0"/>
            </w:tcBorders>
            <w:vAlign w:val="center"/>
          </w:tcPr>
          <w:p w14:paraId="15AC8E6B">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有法定代表人或其委托代理人签字</w:t>
            </w:r>
            <w:r>
              <w:rPr>
                <w:rFonts w:hint="eastAsia"/>
                <w:szCs w:val="21"/>
              </w:rPr>
              <w:t>且</w:t>
            </w:r>
            <w:r>
              <w:rPr>
                <w:rFonts w:hint="default"/>
                <w:szCs w:val="21"/>
              </w:rPr>
              <w:t>加盖单位章</w:t>
            </w:r>
          </w:p>
        </w:tc>
      </w:tr>
      <w:tr w14:paraId="4CD7E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368AA44B">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20D3580D">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4753667A">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投标文件格式</w:t>
            </w:r>
          </w:p>
        </w:tc>
        <w:tc>
          <w:tcPr>
            <w:tcW w:w="5226" w:type="dxa"/>
            <w:tcBorders>
              <w:top w:val="single" w:color="auto" w:sz="4" w:space="0"/>
              <w:left w:val="single" w:color="auto" w:sz="4" w:space="0"/>
              <w:bottom w:val="single" w:color="auto" w:sz="4" w:space="0"/>
              <w:right w:val="single" w:color="auto" w:sz="4" w:space="0"/>
            </w:tcBorders>
            <w:vAlign w:val="center"/>
          </w:tcPr>
          <w:p w14:paraId="451CFDD7">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w:t>
            </w:r>
            <w:r>
              <w:rPr>
                <w:rFonts w:hint="eastAsia"/>
                <w:szCs w:val="21"/>
              </w:rPr>
              <w:t>七</w:t>
            </w:r>
            <w:r>
              <w:rPr>
                <w:rFonts w:hint="default"/>
                <w:szCs w:val="21"/>
              </w:rPr>
              <w:t>章“投标文件格式”的要求</w:t>
            </w:r>
          </w:p>
        </w:tc>
      </w:tr>
      <w:tr w14:paraId="0670A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2646B02F">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6D3A4621">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1949FE17">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报价唯一</w:t>
            </w:r>
          </w:p>
        </w:tc>
        <w:tc>
          <w:tcPr>
            <w:tcW w:w="5226" w:type="dxa"/>
            <w:tcBorders>
              <w:top w:val="single" w:color="auto" w:sz="4" w:space="0"/>
              <w:left w:val="single" w:color="auto" w:sz="4" w:space="0"/>
              <w:bottom w:val="single" w:color="auto" w:sz="4" w:space="0"/>
              <w:right w:val="single" w:color="auto" w:sz="4" w:space="0"/>
            </w:tcBorders>
            <w:vAlign w:val="center"/>
          </w:tcPr>
          <w:p w14:paraId="73B22106">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只能有一个有效报价</w:t>
            </w:r>
          </w:p>
        </w:tc>
      </w:tr>
      <w:tr w14:paraId="4D137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restart"/>
            <w:tcBorders>
              <w:top w:val="single" w:color="auto" w:sz="4" w:space="0"/>
              <w:bottom w:val="single" w:color="auto" w:sz="4" w:space="0"/>
              <w:right w:val="single" w:color="auto" w:sz="4" w:space="0"/>
            </w:tcBorders>
            <w:vAlign w:val="center"/>
          </w:tcPr>
          <w:p w14:paraId="40AE7840">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2.1.2</w:t>
            </w:r>
          </w:p>
        </w:tc>
        <w:tc>
          <w:tcPr>
            <w:tcW w:w="1003" w:type="dxa"/>
            <w:vMerge w:val="restart"/>
            <w:tcBorders>
              <w:top w:val="single" w:color="auto" w:sz="4" w:space="0"/>
              <w:bottom w:val="single" w:color="auto" w:sz="4" w:space="0"/>
              <w:right w:val="single" w:color="auto" w:sz="4" w:space="0"/>
            </w:tcBorders>
            <w:vAlign w:val="center"/>
          </w:tcPr>
          <w:p w14:paraId="656C6542">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资格评审标准</w:t>
            </w:r>
          </w:p>
        </w:tc>
        <w:tc>
          <w:tcPr>
            <w:tcW w:w="1572" w:type="dxa"/>
            <w:tcBorders>
              <w:top w:val="single" w:color="auto" w:sz="4" w:space="0"/>
              <w:left w:val="single" w:color="auto" w:sz="4" w:space="0"/>
              <w:bottom w:val="single" w:color="auto" w:sz="4" w:space="0"/>
              <w:right w:val="single" w:color="auto" w:sz="4" w:space="0"/>
            </w:tcBorders>
            <w:vAlign w:val="center"/>
          </w:tcPr>
          <w:p w14:paraId="2B66A925">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营业执照</w:t>
            </w:r>
          </w:p>
        </w:tc>
        <w:tc>
          <w:tcPr>
            <w:tcW w:w="5226" w:type="dxa"/>
            <w:tcBorders>
              <w:top w:val="single" w:color="auto" w:sz="4" w:space="0"/>
              <w:left w:val="single" w:color="auto" w:sz="4" w:space="0"/>
              <w:bottom w:val="single" w:color="auto" w:sz="4" w:space="0"/>
              <w:right w:val="single" w:color="auto" w:sz="4" w:space="0"/>
            </w:tcBorders>
            <w:vAlign w:val="center"/>
          </w:tcPr>
          <w:p w14:paraId="56E36EDB">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有效</w:t>
            </w:r>
          </w:p>
        </w:tc>
      </w:tr>
      <w:tr w14:paraId="4C79E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18C794CE">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54AEA80D">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128CE096">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法定代表人证明或法定代表人授权书</w:t>
            </w:r>
          </w:p>
        </w:tc>
        <w:tc>
          <w:tcPr>
            <w:tcW w:w="5226" w:type="dxa"/>
            <w:tcBorders>
              <w:top w:val="single" w:color="auto" w:sz="4" w:space="0"/>
              <w:left w:val="single" w:color="auto" w:sz="4" w:space="0"/>
              <w:bottom w:val="single" w:color="auto" w:sz="4" w:space="0"/>
              <w:right w:val="single" w:color="auto" w:sz="4" w:space="0"/>
            </w:tcBorders>
            <w:vAlign w:val="center"/>
          </w:tcPr>
          <w:p w14:paraId="27549BD5">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w:t>
            </w:r>
          </w:p>
        </w:tc>
      </w:tr>
      <w:tr w14:paraId="072F6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1876FF41">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4CBBFC21">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744F6A28">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投标人法定代表人或委托代理人身份证</w:t>
            </w:r>
          </w:p>
        </w:tc>
        <w:tc>
          <w:tcPr>
            <w:tcW w:w="5226" w:type="dxa"/>
            <w:tcBorders>
              <w:top w:val="single" w:color="auto" w:sz="4" w:space="0"/>
              <w:left w:val="single" w:color="auto" w:sz="4" w:space="0"/>
              <w:bottom w:val="single" w:color="auto" w:sz="4" w:space="0"/>
              <w:right w:val="single" w:color="auto" w:sz="4" w:space="0"/>
            </w:tcBorders>
            <w:vAlign w:val="center"/>
          </w:tcPr>
          <w:p w14:paraId="0BC1E7E4">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w:t>
            </w:r>
          </w:p>
        </w:tc>
      </w:tr>
      <w:tr w14:paraId="32FCF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37AF5C61">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2B2E2F9F">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5AFE9916">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投标保证金</w:t>
            </w:r>
          </w:p>
        </w:tc>
        <w:tc>
          <w:tcPr>
            <w:tcW w:w="5226" w:type="dxa"/>
            <w:tcBorders>
              <w:top w:val="single" w:color="auto" w:sz="4" w:space="0"/>
              <w:left w:val="single" w:color="auto" w:sz="4" w:space="0"/>
              <w:bottom w:val="single" w:color="auto" w:sz="4" w:space="0"/>
              <w:right w:val="single" w:color="auto" w:sz="4" w:space="0"/>
            </w:tcBorders>
            <w:vAlign w:val="center"/>
          </w:tcPr>
          <w:p w14:paraId="2C7162AB">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w:t>
            </w:r>
          </w:p>
        </w:tc>
      </w:tr>
      <w:tr w14:paraId="09B1C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6B105807">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68B5C13B">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26550B67">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项目主要人员承诺书</w:t>
            </w:r>
          </w:p>
        </w:tc>
        <w:tc>
          <w:tcPr>
            <w:tcW w:w="5226" w:type="dxa"/>
            <w:tcBorders>
              <w:top w:val="single" w:color="auto" w:sz="4" w:space="0"/>
              <w:left w:val="single" w:color="auto" w:sz="4" w:space="0"/>
              <w:bottom w:val="single" w:color="auto" w:sz="4" w:space="0"/>
              <w:right w:val="single" w:color="auto" w:sz="4" w:space="0"/>
            </w:tcBorders>
            <w:vAlign w:val="center"/>
          </w:tcPr>
          <w:p w14:paraId="1214ECA7">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有效（格式见第七章投标文件格式十一）</w:t>
            </w:r>
          </w:p>
        </w:tc>
      </w:tr>
      <w:tr w14:paraId="5855B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0DEDF37A">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17F65435">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7A1189C2">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投标人承诺书</w:t>
            </w:r>
          </w:p>
        </w:tc>
        <w:tc>
          <w:tcPr>
            <w:tcW w:w="5226" w:type="dxa"/>
            <w:tcBorders>
              <w:top w:val="single" w:color="auto" w:sz="4" w:space="0"/>
              <w:left w:val="single" w:color="auto" w:sz="4" w:space="0"/>
              <w:bottom w:val="single" w:color="auto" w:sz="4" w:space="0"/>
              <w:right w:val="single" w:color="auto" w:sz="4" w:space="0"/>
            </w:tcBorders>
            <w:vAlign w:val="center"/>
          </w:tcPr>
          <w:p w14:paraId="05FE0F64">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有效（格式见第七章投标文件格式十三）</w:t>
            </w:r>
          </w:p>
        </w:tc>
      </w:tr>
      <w:tr w14:paraId="0CE6F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bottom w:val="single" w:color="auto" w:sz="4" w:space="0"/>
              <w:right w:val="single" w:color="auto" w:sz="4" w:space="0"/>
            </w:tcBorders>
            <w:vAlign w:val="center"/>
          </w:tcPr>
          <w:p w14:paraId="569C08EA">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bottom w:val="single" w:color="auto" w:sz="4" w:space="0"/>
              <w:right w:val="single" w:color="auto" w:sz="4" w:space="0"/>
            </w:tcBorders>
            <w:vAlign w:val="center"/>
          </w:tcPr>
          <w:p w14:paraId="616188BB">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75F799E7">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项目</w:t>
            </w:r>
            <w:r>
              <w:rPr>
                <w:rFonts w:hint="default"/>
                <w:szCs w:val="21"/>
              </w:rPr>
              <w:t>风险承诺</w:t>
            </w:r>
            <w:r>
              <w:rPr>
                <w:rFonts w:hint="eastAsia"/>
                <w:szCs w:val="21"/>
              </w:rPr>
              <w:t>书</w:t>
            </w:r>
          </w:p>
        </w:tc>
        <w:tc>
          <w:tcPr>
            <w:tcW w:w="5226" w:type="dxa"/>
            <w:tcBorders>
              <w:top w:val="single" w:color="auto" w:sz="4" w:space="0"/>
              <w:left w:val="single" w:color="auto" w:sz="4" w:space="0"/>
              <w:bottom w:val="single" w:color="auto" w:sz="4" w:space="0"/>
              <w:right w:val="single" w:color="auto" w:sz="4" w:space="0"/>
            </w:tcBorders>
            <w:vAlign w:val="center"/>
          </w:tcPr>
          <w:p w14:paraId="600DC7E1">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有效（格式见第七章投标文件格式十二）</w:t>
            </w:r>
          </w:p>
        </w:tc>
      </w:tr>
      <w:tr w14:paraId="08C55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4994A980">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7607AA08">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79199589">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资质等级</w:t>
            </w:r>
          </w:p>
        </w:tc>
        <w:tc>
          <w:tcPr>
            <w:tcW w:w="5226" w:type="dxa"/>
            <w:tcBorders>
              <w:top w:val="single" w:color="auto" w:sz="4" w:space="0"/>
              <w:left w:val="single" w:color="auto" w:sz="4" w:space="0"/>
              <w:bottom w:val="single" w:color="auto" w:sz="4" w:space="0"/>
              <w:right w:val="single" w:color="auto" w:sz="4" w:space="0"/>
            </w:tcBorders>
            <w:vAlign w:val="center"/>
          </w:tcPr>
          <w:p w14:paraId="6BE7D98E">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符合第二章“投标人须知”第1.4.1项规定</w:t>
            </w:r>
          </w:p>
        </w:tc>
      </w:tr>
      <w:tr w14:paraId="070F2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157E7B25">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7CCE8878">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11F79DB9">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财务状况</w:t>
            </w:r>
          </w:p>
        </w:tc>
        <w:tc>
          <w:tcPr>
            <w:tcW w:w="5226" w:type="dxa"/>
            <w:tcBorders>
              <w:top w:val="single" w:color="auto" w:sz="4" w:space="0"/>
              <w:left w:val="single" w:color="auto" w:sz="4" w:space="0"/>
              <w:bottom w:val="single" w:color="auto" w:sz="4" w:space="0"/>
              <w:right w:val="single" w:color="auto" w:sz="4" w:space="0"/>
            </w:tcBorders>
            <w:vAlign w:val="center"/>
          </w:tcPr>
          <w:p w14:paraId="4BB6CACF">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符合第二章“投标人须知”第1.4.1项规定</w:t>
            </w:r>
          </w:p>
        </w:tc>
      </w:tr>
      <w:tr w14:paraId="2693D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00B9E8F2">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49395701">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0B98FD54">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业绩要求</w:t>
            </w:r>
          </w:p>
        </w:tc>
        <w:tc>
          <w:tcPr>
            <w:tcW w:w="5226" w:type="dxa"/>
            <w:tcBorders>
              <w:top w:val="single" w:color="auto" w:sz="4" w:space="0"/>
              <w:left w:val="single" w:color="auto" w:sz="4" w:space="0"/>
              <w:bottom w:val="single" w:color="auto" w:sz="4" w:space="0"/>
              <w:right w:val="single" w:color="auto" w:sz="4" w:space="0"/>
            </w:tcBorders>
            <w:vAlign w:val="center"/>
          </w:tcPr>
          <w:p w14:paraId="63CDB5C7">
            <w:pPr>
              <w:keepNext w:val="0"/>
              <w:keepLines w:val="0"/>
              <w:suppressLineNumbers w:val="0"/>
              <w:spacing w:before="0" w:beforeAutospacing="0" w:after="0" w:afterAutospacing="0" w:line="240" w:lineRule="auto"/>
              <w:ind w:left="0" w:right="0"/>
              <w:jc w:val="center"/>
              <w:rPr>
                <w:rFonts w:hint="default"/>
                <w:szCs w:val="21"/>
              </w:rPr>
            </w:pPr>
            <w:r>
              <w:rPr>
                <w:rFonts w:hint="eastAsia"/>
                <w:szCs w:val="21"/>
              </w:rPr>
              <w:t>/</w:t>
            </w:r>
          </w:p>
        </w:tc>
      </w:tr>
      <w:tr w14:paraId="35E93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75" w:type="dxa"/>
            <w:vMerge w:val="continue"/>
            <w:tcBorders>
              <w:top w:val="nil"/>
              <w:bottom w:val="single" w:color="auto" w:sz="4" w:space="0"/>
              <w:right w:val="single" w:color="auto" w:sz="4" w:space="0"/>
            </w:tcBorders>
            <w:vAlign w:val="center"/>
          </w:tcPr>
          <w:p w14:paraId="509E91FC">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6B398EA0">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5358DF32">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信誉</w:t>
            </w:r>
          </w:p>
        </w:tc>
        <w:tc>
          <w:tcPr>
            <w:tcW w:w="5226" w:type="dxa"/>
            <w:tcBorders>
              <w:top w:val="single" w:color="auto" w:sz="4" w:space="0"/>
              <w:left w:val="single" w:color="auto" w:sz="4" w:space="0"/>
              <w:bottom w:val="single" w:color="auto" w:sz="4" w:space="0"/>
              <w:right w:val="single" w:color="auto" w:sz="4" w:space="0"/>
            </w:tcBorders>
            <w:vAlign w:val="center"/>
          </w:tcPr>
          <w:p w14:paraId="1370BE3B">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符合第二章“投标人须知”第1.4.1项规定</w:t>
            </w:r>
          </w:p>
        </w:tc>
      </w:tr>
      <w:tr w14:paraId="6E3D6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75" w:type="dxa"/>
            <w:vMerge w:val="continue"/>
            <w:tcBorders>
              <w:top w:val="nil"/>
              <w:bottom w:val="single" w:color="auto" w:sz="4" w:space="0"/>
              <w:right w:val="single" w:color="auto" w:sz="4" w:space="0"/>
            </w:tcBorders>
            <w:vAlign w:val="center"/>
          </w:tcPr>
          <w:p w14:paraId="34A11C21">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25733047">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51A8C3D1">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项目经理</w:t>
            </w:r>
            <w:r>
              <w:rPr>
                <w:rFonts w:hint="eastAsia"/>
                <w:szCs w:val="21"/>
              </w:rPr>
              <w:t xml:space="preserve"> </w:t>
            </w:r>
          </w:p>
        </w:tc>
        <w:tc>
          <w:tcPr>
            <w:tcW w:w="5226" w:type="dxa"/>
            <w:tcBorders>
              <w:top w:val="single" w:color="auto" w:sz="4" w:space="0"/>
              <w:left w:val="single" w:color="auto" w:sz="4" w:space="0"/>
              <w:right w:val="single" w:color="auto" w:sz="4" w:space="0"/>
            </w:tcBorders>
            <w:vAlign w:val="center"/>
          </w:tcPr>
          <w:p w14:paraId="728630E6">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符合第二章“投标人须知”第1.4.1项规定</w:t>
            </w:r>
          </w:p>
        </w:tc>
      </w:tr>
      <w:tr w14:paraId="13B10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49E4552C">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527101FF">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18E54A9D">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联合体投标人</w:t>
            </w:r>
          </w:p>
        </w:tc>
        <w:tc>
          <w:tcPr>
            <w:tcW w:w="5226" w:type="dxa"/>
            <w:tcBorders>
              <w:top w:val="single" w:color="auto" w:sz="4" w:space="0"/>
              <w:left w:val="single" w:color="auto" w:sz="4" w:space="0"/>
              <w:bottom w:val="single" w:color="auto" w:sz="4" w:space="0"/>
              <w:right w:val="single" w:color="auto" w:sz="4" w:space="0"/>
            </w:tcBorders>
            <w:vAlign w:val="center"/>
          </w:tcPr>
          <w:p w14:paraId="3296279A">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符合第二章“投标人须知”第1.4.2项规定</w:t>
            </w:r>
          </w:p>
        </w:tc>
      </w:tr>
      <w:tr w14:paraId="043B0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7A296ACE">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4AF427CC">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02976A76">
            <w:pPr>
              <w:keepNext w:val="0"/>
              <w:keepLines w:val="0"/>
              <w:suppressLineNumbers w:val="0"/>
              <w:spacing w:before="0" w:beforeAutospacing="0" w:after="0" w:afterAutospacing="0" w:line="240" w:lineRule="auto"/>
              <w:ind w:left="0" w:right="0"/>
              <w:jc w:val="left"/>
              <w:rPr>
                <w:rFonts w:hint="default"/>
                <w:szCs w:val="21"/>
              </w:rPr>
            </w:pPr>
            <w:r>
              <w:rPr>
                <w:rFonts w:hint="default" w:cs="宋体"/>
                <w:spacing w:val="-2"/>
                <w:szCs w:val="21"/>
              </w:rPr>
              <w:t>利</w:t>
            </w:r>
            <w:r>
              <w:rPr>
                <w:rFonts w:hint="default" w:cs="宋体"/>
                <w:spacing w:val="-1"/>
                <w:szCs w:val="21"/>
              </w:rPr>
              <w:t>益冲突</w:t>
            </w:r>
          </w:p>
        </w:tc>
        <w:tc>
          <w:tcPr>
            <w:tcW w:w="5226" w:type="dxa"/>
            <w:tcBorders>
              <w:top w:val="single" w:color="auto" w:sz="4" w:space="0"/>
              <w:left w:val="single" w:color="auto" w:sz="4" w:space="0"/>
              <w:bottom w:val="single" w:color="auto" w:sz="4" w:space="0"/>
              <w:right w:val="single" w:color="auto" w:sz="4" w:space="0"/>
            </w:tcBorders>
            <w:vAlign w:val="center"/>
          </w:tcPr>
          <w:p w14:paraId="40E69ADC">
            <w:pPr>
              <w:keepNext w:val="0"/>
              <w:keepLines w:val="0"/>
              <w:suppressLineNumbers w:val="0"/>
              <w:spacing w:before="0" w:beforeAutospacing="0" w:after="0" w:afterAutospacing="0" w:line="240" w:lineRule="auto"/>
              <w:ind w:left="0" w:right="0"/>
              <w:jc w:val="left"/>
              <w:rPr>
                <w:rFonts w:hint="default"/>
                <w:szCs w:val="21"/>
              </w:rPr>
            </w:pPr>
            <w:r>
              <w:rPr>
                <w:rFonts w:hint="default" w:cs="宋体"/>
                <w:spacing w:val="-6"/>
                <w:szCs w:val="21"/>
              </w:rPr>
              <w:t>不存在第二章</w:t>
            </w:r>
            <w:r>
              <w:rPr>
                <w:rFonts w:hint="default" w:cs="宋体"/>
                <w:spacing w:val="-3"/>
                <w:szCs w:val="21"/>
              </w:rPr>
              <w:t>“</w:t>
            </w:r>
            <w:r>
              <w:rPr>
                <w:rFonts w:hint="default" w:cs="宋体"/>
                <w:spacing w:val="-6"/>
                <w:szCs w:val="21"/>
              </w:rPr>
              <w:t>投标人须知</w:t>
            </w:r>
            <w:r>
              <w:rPr>
                <w:rFonts w:hint="default" w:cs="宋体"/>
                <w:spacing w:val="-3"/>
                <w:szCs w:val="21"/>
              </w:rPr>
              <w:t>”</w:t>
            </w:r>
            <w:r>
              <w:rPr>
                <w:rFonts w:hint="default"/>
                <w:szCs w:val="21"/>
              </w:rPr>
              <w:t>第1.4.3项</w:t>
            </w:r>
            <w:r>
              <w:rPr>
                <w:rFonts w:hint="default" w:cs="宋体"/>
                <w:spacing w:val="-5"/>
                <w:szCs w:val="21"/>
              </w:rPr>
              <w:t>规定</w:t>
            </w:r>
            <w:r>
              <w:rPr>
                <w:rFonts w:hint="default" w:cs="宋体"/>
                <w:spacing w:val="-2"/>
                <w:szCs w:val="21"/>
              </w:rPr>
              <w:t>的情形</w:t>
            </w:r>
          </w:p>
        </w:tc>
      </w:tr>
      <w:tr w14:paraId="4CE30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nil"/>
              <w:bottom w:val="single" w:color="auto" w:sz="4" w:space="0"/>
              <w:right w:val="single" w:color="auto" w:sz="4" w:space="0"/>
            </w:tcBorders>
            <w:vAlign w:val="center"/>
          </w:tcPr>
          <w:p w14:paraId="0CC027D9">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nil"/>
              <w:bottom w:val="single" w:color="auto" w:sz="4" w:space="0"/>
              <w:right w:val="single" w:color="auto" w:sz="4" w:space="0"/>
            </w:tcBorders>
            <w:vAlign w:val="center"/>
          </w:tcPr>
          <w:p w14:paraId="3CCD281D">
            <w:pPr>
              <w:keepNext w:val="0"/>
              <w:keepLines w:val="0"/>
              <w:suppressLineNumbers w:val="0"/>
              <w:spacing w:before="0" w:beforeAutospacing="0" w:after="0" w:afterAutospacing="0" w:line="240" w:lineRule="auto"/>
              <w:ind w:left="0" w:right="0"/>
              <w:jc w:val="center"/>
              <w:rPr>
                <w:rFonts w:hint="default"/>
                <w:szCs w:val="21"/>
              </w:rPr>
            </w:pPr>
          </w:p>
        </w:tc>
        <w:tc>
          <w:tcPr>
            <w:tcW w:w="6798" w:type="dxa"/>
            <w:gridSpan w:val="2"/>
            <w:tcBorders>
              <w:top w:val="single" w:color="auto" w:sz="4" w:space="0"/>
              <w:left w:val="single" w:color="auto" w:sz="4" w:space="0"/>
              <w:bottom w:val="single" w:color="auto" w:sz="4" w:space="0"/>
              <w:right w:val="single" w:color="auto" w:sz="4" w:space="0"/>
            </w:tcBorders>
            <w:vAlign w:val="center"/>
          </w:tcPr>
          <w:p w14:paraId="7B76BB0C">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w:t>
            </w:r>
          </w:p>
        </w:tc>
      </w:tr>
      <w:tr w14:paraId="5173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restart"/>
            <w:tcBorders>
              <w:top w:val="single" w:color="auto" w:sz="4" w:space="0"/>
              <w:right w:val="single" w:color="auto" w:sz="4" w:space="0"/>
            </w:tcBorders>
            <w:vAlign w:val="center"/>
          </w:tcPr>
          <w:p w14:paraId="1ACAAE5B">
            <w:pPr>
              <w:keepNext w:val="0"/>
              <w:keepLines w:val="0"/>
              <w:suppressLineNumbers w:val="0"/>
              <w:spacing w:before="0" w:beforeAutospacing="0" w:after="0" w:afterAutospacing="0" w:line="240" w:lineRule="auto"/>
              <w:ind w:left="0" w:right="0"/>
              <w:jc w:val="center"/>
              <w:rPr>
                <w:rFonts w:hint="default"/>
                <w:szCs w:val="21"/>
              </w:rPr>
            </w:pPr>
          </w:p>
          <w:p w14:paraId="6F69FB99">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2.1.3</w:t>
            </w:r>
          </w:p>
        </w:tc>
        <w:tc>
          <w:tcPr>
            <w:tcW w:w="1003" w:type="dxa"/>
            <w:vMerge w:val="restart"/>
            <w:tcBorders>
              <w:top w:val="single" w:color="auto" w:sz="4" w:space="0"/>
              <w:right w:val="single" w:color="auto" w:sz="4" w:space="0"/>
            </w:tcBorders>
            <w:vAlign w:val="center"/>
          </w:tcPr>
          <w:p w14:paraId="679FED0D">
            <w:pPr>
              <w:keepNext w:val="0"/>
              <w:keepLines w:val="0"/>
              <w:suppressLineNumbers w:val="0"/>
              <w:spacing w:before="0" w:beforeAutospacing="0" w:after="0" w:afterAutospacing="0" w:line="240" w:lineRule="auto"/>
              <w:ind w:left="0" w:right="0"/>
              <w:jc w:val="center"/>
              <w:rPr>
                <w:rFonts w:hint="default"/>
                <w:szCs w:val="21"/>
              </w:rPr>
            </w:pPr>
            <w:r>
              <w:rPr>
                <w:rFonts w:hint="default"/>
                <w:szCs w:val="21"/>
              </w:rPr>
              <w:t>响应性评审标准</w:t>
            </w:r>
          </w:p>
        </w:tc>
        <w:tc>
          <w:tcPr>
            <w:tcW w:w="1572" w:type="dxa"/>
            <w:tcBorders>
              <w:top w:val="single" w:color="auto" w:sz="4" w:space="0"/>
              <w:left w:val="single" w:color="auto" w:sz="4" w:space="0"/>
              <w:bottom w:val="single" w:color="auto" w:sz="4" w:space="0"/>
              <w:right w:val="single" w:color="auto" w:sz="4" w:space="0"/>
            </w:tcBorders>
            <w:vAlign w:val="center"/>
          </w:tcPr>
          <w:p w14:paraId="7148A745">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投标报价</w:t>
            </w:r>
          </w:p>
        </w:tc>
        <w:tc>
          <w:tcPr>
            <w:tcW w:w="5226" w:type="dxa"/>
            <w:tcBorders>
              <w:top w:val="single" w:color="auto" w:sz="4" w:space="0"/>
              <w:left w:val="single" w:color="auto" w:sz="4" w:space="0"/>
              <w:bottom w:val="single" w:color="auto" w:sz="4" w:space="0"/>
              <w:right w:val="single" w:color="auto" w:sz="4" w:space="0"/>
            </w:tcBorders>
            <w:vAlign w:val="center"/>
          </w:tcPr>
          <w:p w14:paraId="68FA07C4">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w:t>
            </w:r>
            <w:r>
              <w:rPr>
                <w:rFonts w:hint="eastAsia"/>
                <w:szCs w:val="21"/>
              </w:rPr>
              <w:t>3</w:t>
            </w:r>
            <w:r>
              <w:rPr>
                <w:rFonts w:hint="default"/>
                <w:szCs w:val="21"/>
              </w:rPr>
              <w:t>.</w:t>
            </w:r>
            <w:r>
              <w:rPr>
                <w:rFonts w:hint="eastAsia"/>
                <w:szCs w:val="21"/>
              </w:rPr>
              <w:t>2</w:t>
            </w:r>
            <w:r>
              <w:rPr>
                <w:rFonts w:hint="default"/>
                <w:szCs w:val="21"/>
              </w:rPr>
              <w:t>.</w:t>
            </w:r>
            <w:r>
              <w:rPr>
                <w:rFonts w:hint="eastAsia"/>
                <w:szCs w:val="21"/>
              </w:rPr>
              <w:t>4</w:t>
            </w:r>
            <w:r>
              <w:rPr>
                <w:rFonts w:hint="default"/>
                <w:szCs w:val="21"/>
              </w:rPr>
              <w:t>项规定</w:t>
            </w:r>
          </w:p>
        </w:tc>
      </w:tr>
      <w:tr w14:paraId="57571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op w:val="single" w:color="auto" w:sz="4" w:space="0"/>
              <w:right w:val="single" w:color="auto" w:sz="4" w:space="0"/>
            </w:tcBorders>
            <w:vAlign w:val="center"/>
          </w:tcPr>
          <w:p w14:paraId="03B48650">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top w:val="single" w:color="auto" w:sz="4" w:space="0"/>
              <w:right w:val="single" w:color="auto" w:sz="4" w:space="0"/>
            </w:tcBorders>
            <w:vAlign w:val="center"/>
          </w:tcPr>
          <w:p w14:paraId="5BD31000">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53D18A28">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投标内容</w:t>
            </w:r>
          </w:p>
        </w:tc>
        <w:tc>
          <w:tcPr>
            <w:tcW w:w="5226" w:type="dxa"/>
            <w:tcBorders>
              <w:top w:val="single" w:color="auto" w:sz="4" w:space="0"/>
              <w:left w:val="single" w:color="auto" w:sz="4" w:space="0"/>
              <w:bottom w:val="single" w:color="auto" w:sz="4" w:space="0"/>
              <w:right w:val="single" w:color="auto" w:sz="4" w:space="0"/>
            </w:tcBorders>
            <w:vAlign w:val="center"/>
          </w:tcPr>
          <w:p w14:paraId="4710C5D8">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符合第二章“投标人须知”第1.3.1项规定</w:t>
            </w:r>
          </w:p>
        </w:tc>
      </w:tr>
      <w:tr w14:paraId="55498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right w:val="single" w:color="auto" w:sz="4" w:space="0"/>
            </w:tcBorders>
            <w:vAlign w:val="center"/>
          </w:tcPr>
          <w:p w14:paraId="1804557A">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right w:val="single" w:color="auto" w:sz="4" w:space="0"/>
            </w:tcBorders>
            <w:vAlign w:val="center"/>
          </w:tcPr>
          <w:p w14:paraId="766CF059">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4FD0CA03">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工期</w:t>
            </w:r>
          </w:p>
        </w:tc>
        <w:tc>
          <w:tcPr>
            <w:tcW w:w="5226" w:type="dxa"/>
            <w:tcBorders>
              <w:top w:val="single" w:color="auto" w:sz="4" w:space="0"/>
              <w:left w:val="single" w:color="auto" w:sz="4" w:space="0"/>
              <w:bottom w:val="single" w:color="auto" w:sz="4" w:space="0"/>
              <w:right w:val="single" w:color="auto" w:sz="4" w:space="0"/>
            </w:tcBorders>
            <w:vAlign w:val="center"/>
          </w:tcPr>
          <w:p w14:paraId="04515E39">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符合第二章“投标人须知”第1.3.2项规定</w:t>
            </w:r>
          </w:p>
        </w:tc>
      </w:tr>
      <w:tr w14:paraId="39EB8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right w:val="single" w:color="auto" w:sz="4" w:space="0"/>
            </w:tcBorders>
            <w:vAlign w:val="center"/>
          </w:tcPr>
          <w:p w14:paraId="7B2EEA33">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right w:val="single" w:color="auto" w:sz="4" w:space="0"/>
            </w:tcBorders>
            <w:vAlign w:val="center"/>
          </w:tcPr>
          <w:p w14:paraId="189BE1B1">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1738521E">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质量标准</w:t>
            </w:r>
          </w:p>
        </w:tc>
        <w:tc>
          <w:tcPr>
            <w:tcW w:w="5226" w:type="dxa"/>
            <w:tcBorders>
              <w:top w:val="single" w:color="auto" w:sz="4" w:space="0"/>
              <w:left w:val="single" w:color="auto" w:sz="4" w:space="0"/>
              <w:bottom w:val="single" w:color="auto" w:sz="4" w:space="0"/>
              <w:right w:val="single" w:color="auto" w:sz="4" w:space="0"/>
            </w:tcBorders>
            <w:vAlign w:val="center"/>
          </w:tcPr>
          <w:p w14:paraId="7C39A086">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符合第二章“投标人须知”第1.3.</w:t>
            </w:r>
            <w:r>
              <w:rPr>
                <w:rFonts w:hint="eastAsia"/>
                <w:szCs w:val="21"/>
              </w:rPr>
              <w:t>3</w:t>
            </w:r>
            <w:r>
              <w:rPr>
                <w:rFonts w:hint="default"/>
                <w:szCs w:val="21"/>
              </w:rPr>
              <w:t>项规定</w:t>
            </w:r>
          </w:p>
        </w:tc>
      </w:tr>
      <w:tr w14:paraId="533BA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right w:val="single" w:color="auto" w:sz="4" w:space="0"/>
            </w:tcBorders>
            <w:vAlign w:val="center"/>
          </w:tcPr>
          <w:p w14:paraId="1B07E821">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right w:val="single" w:color="auto" w:sz="4" w:space="0"/>
            </w:tcBorders>
            <w:vAlign w:val="center"/>
          </w:tcPr>
          <w:p w14:paraId="0EE50264">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35460532">
            <w:pPr>
              <w:keepNext w:val="0"/>
              <w:keepLines w:val="0"/>
              <w:suppressLineNumbers w:val="0"/>
              <w:spacing w:before="0" w:beforeAutospacing="0" w:after="0" w:afterAutospacing="0" w:line="240" w:lineRule="auto"/>
              <w:ind w:left="0" w:right="0"/>
              <w:jc w:val="left"/>
              <w:rPr>
                <w:rFonts w:hint="default"/>
                <w:szCs w:val="21"/>
              </w:rPr>
            </w:pPr>
            <w:r>
              <w:rPr>
                <w:rFonts w:hint="eastAsia"/>
                <w:szCs w:val="21"/>
              </w:rPr>
              <w:t>投标有效期</w:t>
            </w:r>
          </w:p>
        </w:tc>
        <w:tc>
          <w:tcPr>
            <w:tcW w:w="5226" w:type="dxa"/>
            <w:tcBorders>
              <w:top w:val="single" w:color="auto" w:sz="4" w:space="0"/>
              <w:left w:val="single" w:color="auto" w:sz="4" w:space="0"/>
              <w:bottom w:val="single" w:color="auto" w:sz="4" w:space="0"/>
              <w:right w:val="single" w:color="auto" w:sz="4" w:space="0"/>
            </w:tcBorders>
            <w:vAlign w:val="center"/>
          </w:tcPr>
          <w:p w14:paraId="348AC9EE">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符合第二章“投标人须知”第</w:t>
            </w:r>
            <w:r>
              <w:rPr>
                <w:rFonts w:hint="eastAsia"/>
                <w:szCs w:val="21"/>
              </w:rPr>
              <w:t>3</w:t>
            </w:r>
            <w:r>
              <w:rPr>
                <w:rFonts w:hint="default"/>
                <w:szCs w:val="21"/>
              </w:rPr>
              <w:t>.3.</w:t>
            </w:r>
            <w:r>
              <w:rPr>
                <w:rFonts w:hint="eastAsia"/>
                <w:szCs w:val="21"/>
              </w:rPr>
              <w:t>1</w:t>
            </w:r>
            <w:r>
              <w:rPr>
                <w:rFonts w:hint="default"/>
                <w:szCs w:val="21"/>
              </w:rPr>
              <w:t>项规</w:t>
            </w:r>
            <w:r>
              <w:rPr>
                <w:rFonts w:hint="eastAsia"/>
                <w:szCs w:val="21"/>
              </w:rPr>
              <w:t>定</w:t>
            </w:r>
          </w:p>
        </w:tc>
      </w:tr>
      <w:tr w14:paraId="4A34A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bottom w:val="single" w:color="auto" w:sz="4" w:space="0"/>
              <w:right w:val="single" w:color="auto" w:sz="4" w:space="0"/>
            </w:tcBorders>
            <w:vAlign w:val="center"/>
          </w:tcPr>
          <w:p w14:paraId="4D5D3868">
            <w:pPr>
              <w:keepNext w:val="0"/>
              <w:keepLines w:val="0"/>
              <w:suppressLineNumbers w:val="0"/>
              <w:spacing w:before="0" w:beforeAutospacing="0" w:after="0" w:afterAutospacing="0" w:line="240" w:lineRule="auto"/>
              <w:ind w:left="0" w:right="0"/>
              <w:jc w:val="center"/>
              <w:rPr>
                <w:rFonts w:hint="default"/>
                <w:szCs w:val="21"/>
              </w:rPr>
            </w:pPr>
          </w:p>
        </w:tc>
        <w:tc>
          <w:tcPr>
            <w:tcW w:w="1003" w:type="dxa"/>
            <w:vMerge w:val="continue"/>
            <w:tcBorders>
              <w:bottom w:val="single" w:color="auto" w:sz="4" w:space="0"/>
              <w:right w:val="single" w:color="auto" w:sz="4" w:space="0"/>
            </w:tcBorders>
            <w:vAlign w:val="center"/>
          </w:tcPr>
          <w:p w14:paraId="27B09D1A">
            <w:pPr>
              <w:keepNext w:val="0"/>
              <w:keepLines w:val="0"/>
              <w:suppressLineNumbers w:val="0"/>
              <w:spacing w:before="0" w:beforeAutospacing="0" w:after="0" w:afterAutospacing="0" w:line="240" w:lineRule="auto"/>
              <w:ind w:left="0" w:right="0"/>
              <w:jc w:val="center"/>
              <w:rPr>
                <w:rFonts w:hint="default"/>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293B11A6">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权利义务</w:t>
            </w:r>
          </w:p>
        </w:tc>
        <w:tc>
          <w:tcPr>
            <w:tcW w:w="5226" w:type="dxa"/>
            <w:tcBorders>
              <w:top w:val="single" w:color="auto" w:sz="4" w:space="0"/>
              <w:left w:val="single" w:color="auto" w:sz="4" w:space="0"/>
              <w:bottom w:val="single" w:color="auto" w:sz="4" w:space="0"/>
              <w:right w:val="single" w:color="auto" w:sz="4" w:space="0"/>
            </w:tcBorders>
            <w:vAlign w:val="center"/>
          </w:tcPr>
          <w:p w14:paraId="283DBFFB">
            <w:pPr>
              <w:keepNext w:val="0"/>
              <w:keepLines w:val="0"/>
              <w:suppressLineNumbers w:val="0"/>
              <w:spacing w:before="0" w:beforeAutospacing="0" w:after="0" w:afterAutospacing="0" w:line="240" w:lineRule="auto"/>
              <w:ind w:left="0" w:right="0"/>
              <w:jc w:val="left"/>
              <w:rPr>
                <w:rFonts w:hint="default"/>
                <w:szCs w:val="21"/>
              </w:rPr>
            </w:pPr>
            <w:r>
              <w:rPr>
                <w:rFonts w:hint="default"/>
                <w:szCs w:val="21"/>
              </w:rPr>
              <w:t>符合第四章“合同条款及格式”规定的权利义务</w:t>
            </w:r>
          </w:p>
        </w:tc>
      </w:tr>
      <w:bookmarkEnd w:id="380"/>
    </w:tbl>
    <w:p w14:paraId="03108590">
      <w:r>
        <w:br w:type="page"/>
      </w:r>
      <w:bookmarkStart w:id="383" w:name="_Toc247514024"/>
      <w:bookmarkStart w:id="384" w:name="_Toc247527625"/>
      <w:bookmarkStart w:id="385" w:name="_Toc98503912"/>
      <w:bookmarkStart w:id="386" w:name="_Toc144974567"/>
      <w:bookmarkStart w:id="387" w:name="_Toc152045600"/>
      <w:bookmarkStart w:id="388" w:name="_Toc115196037"/>
      <w:bookmarkStart w:id="389" w:name="_Toc152042377"/>
      <w:bookmarkStart w:id="390" w:name="_Hlk113971396"/>
      <w:r>
        <w:rPr>
          <w:rFonts w:hint="eastAsia" w:ascii="Arial" w:hAnsi="Arial"/>
          <w:b/>
          <w:bCs/>
          <w:szCs w:val="21"/>
          <w:lang w:bidi="ar"/>
          <w:woUserID w:val="2"/>
        </w:rPr>
        <w:t>1. 评标方法</w:t>
      </w:r>
      <w:bookmarkEnd w:id="383"/>
      <w:bookmarkEnd w:id="384"/>
      <w:bookmarkEnd w:id="385"/>
      <w:bookmarkEnd w:id="386"/>
      <w:bookmarkEnd w:id="387"/>
      <w:bookmarkEnd w:id="388"/>
      <w:bookmarkEnd w:id="389"/>
    </w:p>
    <w:p w14:paraId="2078E50D">
      <w:pPr>
        <w:ind w:firstLine="420" w:firstLineChars="200"/>
        <w:rPr>
          <w:rFonts w:hint="eastAsia" w:asciiTheme="minorEastAsia" w:hAnsiTheme="minorEastAsia" w:eastAsiaTheme="minorEastAsia"/>
          <w:color w:val="000000"/>
        </w:rPr>
      </w:pPr>
      <w:r>
        <w:rPr>
          <w:rFonts w:hint="eastAsia" w:asciiTheme="minorEastAsia" w:hAnsiTheme="minorEastAsia" w:eastAsiaTheme="minorEastAsia"/>
        </w:rPr>
        <w:t>本次评标采用</w:t>
      </w:r>
      <w:r>
        <w:rPr>
          <w:rFonts w:hint="eastAsia" w:ascii="宋体" w:hAnsi="宋体" w:eastAsia="宋体" w:cs="宋体"/>
          <w:kern w:val="2"/>
          <w:sz w:val="21"/>
          <w:szCs w:val="21"/>
          <w:lang w:val="en-US" w:eastAsia="zh-CN" w:bidi="ar"/>
          <w:woUserID w:val="2"/>
        </w:rPr>
        <w:t>经评审的最低投标价法</w:t>
      </w:r>
      <w:r>
        <w:rPr>
          <w:rFonts w:hint="eastAsia" w:asciiTheme="minorEastAsia" w:hAnsiTheme="minorEastAsia" w:eastAsiaTheme="minorEastAsia"/>
        </w:rPr>
        <w:t>。评标委员会对满足招标文件实质性要求的投标文件，</w:t>
      </w:r>
      <w:r>
        <w:rPr>
          <w:rFonts w:hint="eastAsia" w:cs="Times New Roman" w:asciiTheme="minorEastAsia" w:hAnsiTheme="minorEastAsia" w:eastAsiaTheme="minorEastAsia"/>
          <w:color w:val="000000"/>
          <w:kern w:val="2"/>
          <w:sz w:val="21"/>
          <w:szCs w:val="24"/>
          <w:lang w:val="en-US" w:eastAsia="zh-CN" w:bidi="ar"/>
          <w:woUserID w:val="0"/>
        </w:rPr>
        <w:t>按照经评审的投标价由低到高的顺序推荐中标候选人或根据招标人授权直接确定中标人，但投标报价低于其成本的除外。投标报价相等的，由招标人自行确定。</w:t>
      </w:r>
    </w:p>
    <w:p w14:paraId="4F24C114">
      <w:pPr>
        <w:keepNext/>
        <w:keepLines/>
        <w:widowControl w:val="0"/>
        <w:suppressLineNumbers w:val="0"/>
        <w:spacing w:before="0" w:beforeAutospacing="0" w:after="200" w:afterAutospacing="0" w:line="276" w:lineRule="auto"/>
        <w:ind w:left="0" w:right="0"/>
        <w:jc w:val="left"/>
        <w:outlineLvl w:val="1"/>
        <w:rPr>
          <w:rFonts w:hint="eastAsia" w:ascii="Arial" w:hAnsi="Arial" w:eastAsia="宋体" w:cs="Times New Roman"/>
          <w:b/>
          <w:bCs/>
          <w:kern w:val="2"/>
          <w:sz w:val="21"/>
          <w:szCs w:val="21"/>
          <w:lang w:val="en-US" w:eastAsia="zh-CN" w:bidi="ar"/>
          <w:woUserID w:val="2"/>
        </w:rPr>
      </w:pPr>
      <w:bookmarkStart w:id="391" w:name="_Toc12084"/>
      <w:r>
        <w:rPr>
          <w:rFonts w:hint="eastAsia" w:ascii="Arial" w:hAnsi="Arial" w:eastAsia="宋体" w:cs="Times New Roman"/>
          <w:b/>
          <w:bCs/>
          <w:kern w:val="2"/>
          <w:sz w:val="21"/>
          <w:szCs w:val="21"/>
          <w:lang w:val="en-US" w:eastAsia="zh-CN" w:bidi="ar"/>
          <w:woUserID w:val="2"/>
        </w:rPr>
        <w:t xml:space="preserve">2. </w:t>
      </w:r>
      <w:r>
        <w:rPr>
          <w:rFonts w:hint="default" w:ascii="Arial" w:hAnsi="Arial" w:eastAsia="宋体" w:cs="Times New Roman"/>
          <w:b/>
          <w:bCs/>
          <w:kern w:val="2"/>
          <w:sz w:val="21"/>
          <w:szCs w:val="21"/>
          <w:lang w:val="en-US" w:eastAsia="zh-CN" w:bidi="ar"/>
          <w:woUserID w:val="2"/>
        </w:rPr>
        <w:t>评审标准</w:t>
      </w:r>
      <w:bookmarkEnd w:id="391"/>
    </w:p>
    <w:p w14:paraId="7701DB2C">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2.1 </w:t>
      </w:r>
      <w:r>
        <w:rPr>
          <w:rFonts w:hint="eastAsia" w:ascii="Times New Roman" w:hAnsi="宋体" w:eastAsia="宋体" w:cs="宋体"/>
          <w:kern w:val="2"/>
          <w:sz w:val="21"/>
          <w:szCs w:val="21"/>
          <w:lang w:val="en-US" w:eastAsia="zh-CN" w:bidi="ar"/>
          <w:woUserID w:val="2"/>
        </w:rPr>
        <w:t>初步评审标准</w:t>
      </w:r>
    </w:p>
    <w:p w14:paraId="036232B7">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2.1.1 </w:t>
      </w:r>
      <w:r>
        <w:rPr>
          <w:rFonts w:hint="eastAsia" w:ascii="Times New Roman" w:hAnsi="宋体" w:eastAsia="宋体" w:cs="宋体"/>
          <w:kern w:val="2"/>
          <w:sz w:val="21"/>
          <w:szCs w:val="21"/>
          <w:lang w:val="en-US" w:eastAsia="zh-CN" w:bidi="ar"/>
          <w:woUserID w:val="2"/>
        </w:rPr>
        <w:t>评审标准：见评标办法前附表。</w:t>
      </w:r>
    </w:p>
    <w:p w14:paraId="5EC2A8BC">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2.2 </w:t>
      </w:r>
      <w:r>
        <w:rPr>
          <w:rFonts w:hint="eastAsia" w:ascii="Times New Roman" w:hAnsi="宋体" w:eastAsia="宋体" w:cs="宋体"/>
          <w:kern w:val="2"/>
          <w:sz w:val="21"/>
          <w:szCs w:val="21"/>
          <w:lang w:val="en-US" w:eastAsia="zh-CN" w:bidi="ar"/>
          <w:woUserID w:val="2"/>
        </w:rPr>
        <w:t>详细评审标准</w:t>
      </w:r>
    </w:p>
    <w:p w14:paraId="31DF3DCF">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详细评审标准：依照国家相关规定及招标文件中评标办法相应要求。</w:t>
      </w:r>
    </w:p>
    <w:p w14:paraId="2A94DEB5">
      <w:pPr>
        <w:keepNext/>
        <w:keepLines/>
        <w:widowControl w:val="0"/>
        <w:suppressLineNumbers w:val="0"/>
        <w:spacing w:before="0" w:beforeAutospacing="0" w:after="200" w:afterAutospacing="0" w:line="276" w:lineRule="auto"/>
        <w:ind w:left="0" w:right="0"/>
        <w:jc w:val="left"/>
        <w:outlineLvl w:val="1"/>
        <w:rPr>
          <w:rFonts w:hint="default" w:ascii="Arial" w:hAnsi="Arial" w:eastAsia="宋体" w:cs="Times New Roman"/>
          <w:b/>
          <w:bCs/>
          <w:kern w:val="2"/>
          <w:sz w:val="21"/>
          <w:szCs w:val="21"/>
          <w:lang w:val="en-US" w:eastAsia="zh-CN"/>
          <w:woUserID w:val="2"/>
        </w:rPr>
      </w:pPr>
      <w:bookmarkStart w:id="392" w:name="_Toc26892"/>
      <w:r>
        <w:rPr>
          <w:rFonts w:hint="default" w:ascii="Arial" w:hAnsi="Arial" w:eastAsia="宋体" w:cs="Times New Roman"/>
          <w:b/>
          <w:bCs/>
          <w:kern w:val="2"/>
          <w:sz w:val="21"/>
          <w:szCs w:val="21"/>
          <w:lang w:val="en-US" w:eastAsia="zh-CN" w:bidi="ar"/>
          <w:woUserID w:val="2"/>
        </w:rPr>
        <w:t xml:space="preserve">3. </w:t>
      </w:r>
      <w:r>
        <w:rPr>
          <w:rFonts w:hint="eastAsia" w:ascii="Arial" w:hAnsi="宋体" w:eastAsia="宋体" w:cs="宋体"/>
          <w:b/>
          <w:bCs/>
          <w:kern w:val="2"/>
          <w:sz w:val="21"/>
          <w:szCs w:val="21"/>
          <w:lang w:val="en-US" w:eastAsia="zh-CN" w:bidi="ar"/>
          <w:woUserID w:val="2"/>
        </w:rPr>
        <w:t>评标程序</w:t>
      </w:r>
      <w:bookmarkEnd w:id="392"/>
    </w:p>
    <w:p w14:paraId="7F49A87F">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3.1 </w:t>
      </w:r>
      <w:r>
        <w:rPr>
          <w:rFonts w:hint="eastAsia" w:ascii="Times New Roman" w:hAnsi="宋体" w:eastAsia="宋体" w:cs="宋体"/>
          <w:kern w:val="2"/>
          <w:sz w:val="21"/>
          <w:szCs w:val="21"/>
          <w:lang w:val="en-US" w:eastAsia="zh-CN" w:bidi="ar"/>
          <w:woUserID w:val="2"/>
        </w:rPr>
        <w:t>初步评审</w:t>
      </w:r>
    </w:p>
    <w:p w14:paraId="67CBF4CA">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3.1.1</w:t>
      </w:r>
      <w:r>
        <w:rPr>
          <w:rFonts w:hint="eastAsia" w:ascii="Times New Roman" w:hAnsi="宋体" w:eastAsia="宋体" w:cs="宋体"/>
          <w:kern w:val="2"/>
          <w:sz w:val="21"/>
          <w:szCs w:val="21"/>
          <w:lang w:val="en-US" w:eastAsia="zh-CN" w:bidi="ar"/>
          <w:woUserID w:val="2"/>
        </w:rPr>
        <w:t>评标委员会依据本章第</w:t>
      </w:r>
      <w:r>
        <w:rPr>
          <w:rFonts w:hint="default" w:ascii="Times New Roman" w:hAnsi="Times New Roman" w:eastAsia="宋体" w:cs="Times New Roman"/>
          <w:kern w:val="2"/>
          <w:sz w:val="21"/>
          <w:szCs w:val="21"/>
          <w:lang w:val="en-US" w:eastAsia="zh-CN" w:bidi="ar"/>
          <w:woUserID w:val="2"/>
        </w:rPr>
        <w:t>2.1</w:t>
      </w:r>
      <w:r>
        <w:rPr>
          <w:rFonts w:hint="eastAsia" w:ascii="Times New Roman" w:hAnsi="宋体" w:eastAsia="宋体" w:cs="宋体"/>
          <w:kern w:val="2"/>
          <w:sz w:val="21"/>
          <w:szCs w:val="21"/>
          <w:lang w:val="en-US" w:eastAsia="zh-CN" w:bidi="ar"/>
          <w:woUserID w:val="2"/>
        </w:rPr>
        <w:t>款规定的标准对投标文件进行初步评审；评标委员会依据招标公告及要求投标人提交的有关证明和资格文件的原件扫描件核验，有一项不符合评审标准的评标委员会应当否决其投标。</w:t>
      </w:r>
    </w:p>
    <w:p w14:paraId="395C9FAE">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3.1.2 </w:t>
      </w:r>
      <w:r>
        <w:rPr>
          <w:rFonts w:hint="eastAsia" w:ascii="Times New Roman" w:hAnsi="宋体" w:eastAsia="宋体" w:cs="宋体"/>
          <w:kern w:val="2"/>
          <w:sz w:val="21"/>
          <w:szCs w:val="21"/>
          <w:lang w:val="en-US" w:eastAsia="zh-CN" w:bidi="ar"/>
          <w:woUserID w:val="2"/>
        </w:rPr>
        <w:t>投标人有以下情形之一的，评标委员会应当否决其投标：</w:t>
      </w:r>
    </w:p>
    <w:p w14:paraId="2C893DF9">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w:t>
      </w:r>
      <w:r>
        <w:rPr>
          <w:rFonts w:hint="default" w:ascii="Times New Roman" w:hAnsi="Times New Roman" w:eastAsia="宋体" w:cs="Times New Roman"/>
          <w:kern w:val="2"/>
          <w:sz w:val="21"/>
          <w:szCs w:val="21"/>
          <w:lang w:val="en-US" w:eastAsia="zh-CN" w:bidi="ar"/>
          <w:woUserID w:val="2"/>
        </w:rPr>
        <w:t>1</w:t>
      </w:r>
      <w:r>
        <w:rPr>
          <w:rFonts w:hint="eastAsia" w:ascii="Times New Roman" w:hAnsi="宋体" w:eastAsia="宋体" w:cs="宋体"/>
          <w:kern w:val="2"/>
          <w:sz w:val="21"/>
          <w:szCs w:val="21"/>
          <w:lang w:val="en-US" w:eastAsia="zh-CN" w:bidi="ar"/>
          <w:woUserID w:val="2"/>
        </w:rPr>
        <w:t>）第二章</w:t>
      </w:r>
      <w:r>
        <w:rPr>
          <w:rFonts w:hint="default" w:ascii="Times New Roman" w:hAnsi="Times New Roman" w:eastAsia="宋体" w:cs="Times New Roman"/>
          <w:kern w:val="2"/>
          <w:sz w:val="21"/>
          <w:szCs w:val="21"/>
          <w:lang w:val="en-US" w:eastAsia="zh-CN" w:bidi="ar"/>
          <w:woUserID w:val="2"/>
        </w:rPr>
        <w:t>“</w:t>
      </w:r>
      <w:r>
        <w:rPr>
          <w:rFonts w:hint="eastAsia" w:ascii="Times New Roman" w:hAnsi="宋体" w:eastAsia="宋体" w:cs="宋体"/>
          <w:kern w:val="2"/>
          <w:sz w:val="21"/>
          <w:szCs w:val="21"/>
          <w:lang w:val="en-US" w:eastAsia="zh-CN" w:bidi="ar"/>
          <w:woUserID w:val="2"/>
        </w:rPr>
        <w:t>投标人须知</w:t>
      </w:r>
      <w:r>
        <w:rPr>
          <w:rFonts w:hint="default" w:ascii="Times New Roman" w:hAnsi="Times New Roman" w:eastAsia="宋体" w:cs="Times New Roman"/>
          <w:kern w:val="2"/>
          <w:sz w:val="21"/>
          <w:szCs w:val="21"/>
          <w:lang w:val="en-US" w:eastAsia="zh-CN" w:bidi="ar"/>
          <w:woUserID w:val="2"/>
        </w:rPr>
        <w:t>”</w:t>
      </w:r>
      <w:r>
        <w:rPr>
          <w:rFonts w:hint="eastAsia" w:ascii="Times New Roman" w:hAnsi="宋体" w:eastAsia="宋体" w:cs="宋体"/>
          <w:kern w:val="2"/>
          <w:sz w:val="21"/>
          <w:szCs w:val="21"/>
          <w:lang w:val="en-US" w:eastAsia="zh-CN" w:bidi="ar"/>
          <w:woUserID w:val="2"/>
        </w:rPr>
        <w:t>规定投标无效任何一种情形的；</w:t>
      </w:r>
    </w:p>
    <w:p w14:paraId="06B623DB">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w:t>
      </w:r>
      <w:r>
        <w:rPr>
          <w:rFonts w:hint="default" w:ascii="Times New Roman" w:hAnsi="Times New Roman" w:eastAsia="宋体" w:cs="Times New Roman"/>
          <w:kern w:val="2"/>
          <w:sz w:val="21"/>
          <w:szCs w:val="21"/>
          <w:lang w:val="en-US" w:eastAsia="zh-CN" w:bidi="ar"/>
          <w:woUserID w:val="2"/>
        </w:rPr>
        <w:t>2</w:t>
      </w:r>
      <w:r>
        <w:rPr>
          <w:rFonts w:hint="eastAsia" w:ascii="Times New Roman" w:hAnsi="宋体" w:eastAsia="宋体" w:cs="宋体"/>
          <w:kern w:val="2"/>
          <w:sz w:val="21"/>
          <w:szCs w:val="21"/>
          <w:lang w:val="en-US" w:eastAsia="zh-CN" w:bidi="ar"/>
          <w:woUserID w:val="2"/>
        </w:rPr>
        <w:t>）串通投标或弄虚作假或有其他违法行为的；</w:t>
      </w:r>
    </w:p>
    <w:p w14:paraId="186688EE">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w:t>
      </w:r>
      <w:r>
        <w:rPr>
          <w:rFonts w:hint="default" w:ascii="Times New Roman" w:hAnsi="Times New Roman" w:eastAsia="宋体" w:cs="Times New Roman"/>
          <w:kern w:val="2"/>
          <w:sz w:val="21"/>
          <w:szCs w:val="21"/>
          <w:lang w:val="en-US" w:eastAsia="zh-CN" w:bidi="ar"/>
          <w:woUserID w:val="2"/>
        </w:rPr>
        <w:t>3</w:t>
      </w:r>
      <w:r>
        <w:rPr>
          <w:rFonts w:hint="eastAsia" w:ascii="Times New Roman" w:hAnsi="宋体" w:eastAsia="宋体" w:cs="宋体"/>
          <w:kern w:val="2"/>
          <w:sz w:val="21"/>
          <w:szCs w:val="21"/>
          <w:lang w:val="en-US" w:eastAsia="zh-CN" w:bidi="ar"/>
          <w:woUserID w:val="2"/>
        </w:rPr>
        <w:t>）不按评标委员会要求澄清、说明或补正的。</w:t>
      </w:r>
    </w:p>
    <w:p w14:paraId="3FCBDD97">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3.2 </w:t>
      </w:r>
      <w:r>
        <w:rPr>
          <w:rFonts w:hint="eastAsia" w:ascii="Times New Roman" w:hAnsi="宋体" w:eastAsia="宋体" w:cs="宋体"/>
          <w:kern w:val="2"/>
          <w:sz w:val="21"/>
          <w:szCs w:val="21"/>
          <w:lang w:val="en-US" w:eastAsia="zh-CN" w:bidi="ar"/>
          <w:woUserID w:val="2"/>
        </w:rPr>
        <w:t>详细评审</w:t>
      </w:r>
    </w:p>
    <w:p w14:paraId="6183FB70">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3.2.1</w:t>
      </w:r>
      <w:r>
        <w:rPr>
          <w:rFonts w:hint="eastAsia" w:ascii="Times New Roman" w:hAnsi="宋体" w:eastAsia="宋体" w:cs="宋体"/>
          <w:kern w:val="2"/>
          <w:sz w:val="21"/>
          <w:szCs w:val="21"/>
          <w:lang w:val="en-US" w:eastAsia="zh-CN" w:bidi="ar"/>
          <w:woUserID w:val="2"/>
        </w:rPr>
        <w:t>投标报价有算术错误的，评标委员会按以下原则对投标报价进行修正，修正的价格经投标人书面确认后具有约束力。投标人不接受修正价格的，评标委员会应当否决其投标。</w:t>
      </w:r>
    </w:p>
    <w:p w14:paraId="04625196">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w:t>
      </w:r>
      <w:r>
        <w:rPr>
          <w:rFonts w:hint="default" w:ascii="Times New Roman" w:hAnsi="Times New Roman" w:eastAsia="宋体" w:cs="Times New Roman"/>
          <w:kern w:val="2"/>
          <w:sz w:val="21"/>
          <w:szCs w:val="21"/>
          <w:lang w:val="en-US" w:eastAsia="zh-CN" w:bidi="ar"/>
          <w:woUserID w:val="2"/>
        </w:rPr>
        <w:t>1</w:t>
      </w:r>
      <w:r>
        <w:rPr>
          <w:rFonts w:hint="eastAsia" w:ascii="Times New Roman" w:hAnsi="宋体" w:eastAsia="宋体" w:cs="宋体"/>
          <w:kern w:val="2"/>
          <w:sz w:val="21"/>
          <w:szCs w:val="21"/>
          <w:lang w:val="en-US" w:eastAsia="zh-CN" w:bidi="ar"/>
          <w:woUserID w:val="2"/>
        </w:rPr>
        <w:t>）投标文件中的大写金额与小写金额不一致的，以大写金额为准；</w:t>
      </w:r>
    </w:p>
    <w:p w14:paraId="6F3F25C5">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eastAsia" w:ascii="Times New Roman" w:hAnsi="宋体" w:eastAsia="宋体" w:cs="宋体"/>
          <w:kern w:val="2"/>
          <w:sz w:val="21"/>
          <w:szCs w:val="21"/>
          <w:lang w:val="en-US" w:eastAsia="zh-CN" w:bidi="ar"/>
          <w:woUserID w:val="2"/>
        </w:rPr>
        <w:t>（</w:t>
      </w:r>
      <w:r>
        <w:rPr>
          <w:rFonts w:hint="default" w:ascii="Times New Roman" w:hAnsi="Times New Roman" w:eastAsia="宋体" w:cs="Times New Roman"/>
          <w:kern w:val="2"/>
          <w:sz w:val="21"/>
          <w:szCs w:val="21"/>
          <w:lang w:val="en-US" w:eastAsia="zh-CN" w:bidi="ar"/>
          <w:woUserID w:val="2"/>
        </w:rPr>
        <w:t>2</w:t>
      </w:r>
      <w:r>
        <w:rPr>
          <w:rFonts w:hint="eastAsia" w:ascii="Times New Roman" w:hAnsi="宋体" w:eastAsia="宋体" w:cs="宋体"/>
          <w:kern w:val="2"/>
          <w:sz w:val="21"/>
          <w:szCs w:val="21"/>
          <w:lang w:val="en-US" w:eastAsia="zh-CN" w:bidi="ar"/>
          <w:woUserID w:val="2"/>
        </w:rPr>
        <w:t>）总价金额与依据单价计算出的结果不一致的，以单价金额为准修正总价，但单价金额小数点有明显错误的除外。</w:t>
      </w:r>
    </w:p>
    <w:p w14:paraId="3B9FC9DA">
      <w:pPr>
        <w:keepNext w:val="0"/>
        <w:keepLines w:val="0"/>
        <w:widowControl w:val="0"/>
        <w:suppressLineNumbers w:val="0"/>
        <w:spacing w:before="0" w:beforeAutospacing="0" w:after="200" w:afterAutospacing="0" w:line="276" w:lineRule="auto"/>
        <w:ind w:left="0" w:right="0"/>
        <w:jc w:val="both"/>
        <w:rPr>
          <w:kern w:val="2"/>
          <w:sz w:val="21"/>
          <w:szCs w:val="21"/>
          <w:lang w:val="en-US" w:eastAsia="zh-CN"/>
          <w:woUserID w:val="2"/>
        </w:rPr>
      </w:pPr>
      <w:r>
        <w:rPr>
          <w:rFonts w:hint="default" w:ascii="Times New Roman" w:hAnsi="Times New Roman" w:eastAsia="宋体" w:cs="Times New Roman"/>
          <w:kern w:val="2"/>
          <w:sz w:val="21"/>
          <w:szCs w:val="21"/>
          <w:lang w:val="en-US" w:eastAsia="zh-CN" w:bidi="ar"/>
          <w:woUserID w:val="2"/>
        </w:rPr>
        <w:t xml:space="preserve">3.2.2 </w:t>
      </w:r>
      <w:r>
        <w:rPr>
          <w:rFonts w:hint="eastAsia" w:ascii="Times New Roman" w:hAnsi="宋体" w:eastAsia="宋体" w:cs="Times New Roman"/>
          <w:kern w:val="2"/>
          <w:sz w:val="21"/>
          <w:szCs w:val="21"/>
          <w:lang w:val="en-US" w:eastAsia="zh-CN" w:bidi="ar"/>
          <w:woUserID w:val="2"/>
        </w:rPr>
        <w:t>评标委员会发现投标人的报价明显低于其他投标报价，或者在设有标底时明显低于标底，使得其投标报价可能低于其成本的，应当要求该投标人做出书面说明并提供相应的证明材料。投标人不能合理说明或者不能提供相应证明材料的，评标委员会应当认定该投</w:t>
      </w:r>
      <w:r>
        <w:rPr>
          <w:rFonts w:hint="eastAsia" w:ascii="Times New Roman" w:hAnsi="宋体" w:eastAsia="宋体" w:cs="宋体"/>
          <w:kern w:val="2"/>
          <w:sz w:val="21"/>
          <w:szCs w:val="21"/>
          <w:lang w:val="en-US" w:eastAsia="zh-CN" w:bidi="ar"/>
          <w:woUserID w:val="2"/>
        </w:rPr>
        <w:t>标人以低于成本报价竞标，否决其投标。</w:t>
      </w:r>
    </w:p>
    <w:p w14:paraId="54CB5541">
      <w:pPr>
        <w:keepNext w:val="0"/>
        <w:keepLines w:val="0"/>
        <w:widowControl/>
        <w:suppressLineNumbers w:val="0"/>
        <w:jc w:val="left"/>
        <w:rPr>
          <w:szCs w:val="21"/>
          <w:rPrChange w:id="0" w:author="侯晓利" w:date="2024-11-11T21:05:05Z">
            <w:rPr>
              <w:woUserID w:val="2"/>
            </w:rPr>
          </w:rPrChange>
          <w:woUserID w:val="2"/>
        </w:rPr>
      </w:pPr>
    </w:p>
    <w:p w14:paraId="077BDC88">
      <w:pPr>
        <w:ind w:firstLine="420" w:firstLineChars="200"/>
        <w:rPr>
          <w:rFonts w:hint="eastAsia" w:asciiTheme="minorEastAsia" w:hAnsiTheme="minorEastAsia" w:eastAsiaTheme="minorEastAsia"/>
        </w:rPr>
      </w:pPr>
    </w:p>
    <w:p w14:paraId="6697439A">
      <w:pPr>
        <w:pStyle w:val="4"/>
        <w:spacing w:before="0" w:after="0" w:line="360" w:lineRule="auto"/>
        <w:ind w:firstLine="424" w:firstLineChars="202"/>
        <w:rPr>
          <w:rFonts w:asciiTheme="minorEastAsia" w:hAnsiTheme="minorEastAsia" w:eastAsiaTheme="minorEastAsia"/>
          <w:bCs w:val="0"/>
          <w:sz w:val="21"/>
          <w:szCs w:val="24"/>
        </w:rPr>
      </w:pPr>
      <w:bookmarkStart w:id="393" w:name="_Toc98503920"/>
      <w:bookmarkStart w:id="394" w:name="_Toc144974576"/>
      <w:bookmarkStart w:id="395" w:name="_Toc152042386"/>
      <w:bookmarkStart w:id="396" w:name="_Toc152045608"/>
      <w:bookmarkStart w:id="397" w:name="_Toc247527633"/>
      <w:bookmarkStart w:id="398" w:name="_Toc247514032"/>
      <w:r>
        <w:rPr>
          <w:rFonts w:hint="eastAsia" w:asciiTheme="minorEastAsia" w:hAnsiTheme="minorEastAsia" w:eastAsiaTheme="minorEastAsia"/>
          <w:bCs w:val="0"/>
          <w:sz w:val="21"/>
          <w:szCs w:val="24"/>
        </w:rPr>
        <w:t>3.3 投标文件的澄清和补正</w:t>
      </w:r>
    </w:p>
    <w:p w14:paraId="52D67752">
      <w:pPr>
        <w:ind w:firstLine="420" w:firstLineChars="200"/>
        <w:rPr>
          <w:rFonts w:asciiTheme="minorEastAsia" w:hAnsiTheme="minorEastAsia" w:eastAsiaTheme="minorEastAsia"/>
        </w:rPr>
      </w:pPr>
      <w:r>
        <w:rPr>
          <w:rFonts w:hint="eastAsia" w:asciiTheme="minorEastAsia" w:hAnsiTheme="minorEastAsia" w:eastAsiaTheme="minorEastAsia"/>
        </w:rPr>
        <w:t>3.3.1 在评标过程中，评标委员会可以书面形式要求投标人对所提交投标文件中不明确的内容进行书面澄清或说明，或者对细微偏差进行补正，但不得对暂列金额等不可竞争费用作澄清。评标委员会不接受投标人主动提出的澄清、说明或补正。</w:t>
      </w:r>
    </w:p>
    <w:p w14:paraId="382DBA3D">
      <w:pPr>
        <w:ind w:firstLine="420" w:firstLineChars="200"/>
        <w:rPr>
          <w:rFonts w:asciiTheme="minorEastAsia" w:hAnsiTheme="minorEastAsia" w:eastAsiaTheme="minorEastAsia"/>
        </w:rPr>
      </w:pPr>
      <w:r>
        <w:rPr>
          <w:rFonts w:hint="eastAsia" w:asciiTheme="minorEastAsia" w:hAnsiTheme="minorEastAsia" w:eastAsiaTheme="minorEastAsia"/>
        </w:rPr>
        <w:t>3.3.2 澄清、说明和补正不得改变投标文件的实质性内容。投标人的书面澄清、说明和补正属于投标文件的组成部分。</w:t>
      </w:r>
    </w:p>
    <w:p w14:paraId="624D5EC2">
      <w:pPr>
        <w:ind w:firstLine="420" w:firstLineChars="200"/>
        <w:rPr>
          <w:rFonts w:asciiTheme="minorEastAsia" w:hAnsiTheme="minorEastAsia" w:eastAsiaTheme="minorEastAsia"/>
        </w:rPr>
      </w:pPr>
      <w:r>
        <w:rPr>
          <w:rFonts w:hint="eastAsia" w:asciiTheme="minorEastAsia" w:hAnsiTheme="minorEastAsia" w:eastAsiaTheme="minorEastAsia"/>
        </w:rPr>
        <w:t>3.3.3 评标委员会对投标人提交的澄清、说明或补正有疑问的，可以要求投标人进一步澄清、说明或补正，直至满足评标委员会的要求。</w:t>
      </w:r>
    </w:p>
    <w:p w14:paraId="025220E1">
      <w:pPr>
        <w:pStyle w:val="4"/>
        <w:spacing w:before="0" w:after="0" w:line="360" w:lineRule="auto"/>
        <w:ind w:firstLine="424" w:firstLineChars="202"/>
        <w:rPr>
          <w:rFonts w:asciiTheme="minorEastAsia" w:hAnsiTheme="minorEastAsia" w:eastAsiaTheme="minorEastAsia"/>
          <w:bCs w:val="0"/>
          <w:sz w:val="21"/>
          <w:szCs w:val="24"/>
        </w:rPr>
      </w:pPr>
      <w:r>
        <w:rPr>
          <w:rFonts w:hint="eastAsia" w:asciiTheme="minorEastAsia" w:hAnsiTheme="minorEastAsia" w:eastAsiaTheme="minorEastAsia"/>
          <w:bCs w:val="0"/>
          <w:sz w:val="21"/>
          <w:szCs w:val="24"/>
        </w:rPr>
        <w:t>3.4 评标结果</w:t>
      </w:r>
      <w:bookmarkEnd w:id="393"/>
      <w:bookmarkEnd w:id="394"/>
      <w:bookmarkEnd w:id="395"/>
      <w:bookmarkEnd w:id="396"/>
      <w:bookmarkEnd w:id="397"/>
      <w:bookmarkEnd w:id="398"/>
    </w:p>
    <w:p w14:paraId="412BE5B5">
      <w:pPr>
        <w:keepNext w:val="0"/>
        <w:keepLines w:val="0"/>
        <w:widowControl w:val="0"/>
        <w:suppressLineNumbers w:val="0"/>
        <w:spacing w:before="0" w:beforeAutospacing="0" w:after="200" w:afterAutospacing="0" w:line="276" w:lineRule="auto"/>
        <w:ind w:left="0" w:leftChars="0" w:right="0" w:firstLine="420" w:firstLineChars="200"/>
        <w:jc w:val="both"/>
        <w:rPr>
          <w:kern w:val="2"/>
          <w:sz w:val="28"/>
          <w:szCs w:val="28"/>
          <w:lang w:val="en-US" w:eastAsia="zh-CN"/>
          <w:woUserID w:val="2"/>
        </w:rPr>
      </w:pPr>
      <w:r>
        <w:rPr>
          <w:rFonts w:hint="eastAsia" w:asciiTheme="minorEastAsia" w:hAnsiTheme="minorEastAsia" w:eastAsiaTheme="minorEastAsia"/>
        </w:rPr>
        <w:t>3.4.1</w:t>
      </w:r>
      <w:r>
        <w:rPr>
          <w:rFonts w:hint="eastAsia" w:cs="Times New Roman" w:asciiTheme="minorEastAsia" w:hAnsiTheme="minorEastAsia" w:eastAsiaTheme="minorEastAsia"/>
          <w:kern w:val="2"/>
          <w:sz w:val="21"/>
          <w:szCs w:val="24"/>
          <w:u w:val="none"/>
          <w:lang w:val="en-US" w:eastAsia="zh-CN" w:bidi="ar"/>
          <w:woUserID w:val="0"/>
        </w:rPr>
        <w:t>除</w:t>
      </w:r>
      <w:r>
        <w:rPr>
          <w:rFonts w:hint="eastAsia" w:ascii="Times New Roman" w:hAnsi="宋体" w:eastAsia="宋体" w:cs="宋体"/>
          <w:kern w:val="2"/>
          <w:sz w:val="21"/>
          <w:szCs w:val="21"/>
          <w:u w:val="none"/>
          <w:lang w:val="en-US" w:eastAsia="zh-CN" w:bidi="ar"/>
          <w:woUserID w:val="2"/>
        </w:rPr>
        <w:t>第二章</w:t>
      </w:r>
      <w:r>
        <w:rPr>
          <w:rFonts w:hint="default" w:ascii="Times New Roman" w:hAnsi="Times New Roman" w:eastAsia="宋体" w:cs="Times New Roman"/>
          <w:kern w:val="2"/>
          <w:sz w:val="21"/>
          <w:szCs w:val="21"/>
          <w:u w:val="none"/>
          <w:lang w:val="en-US" w:eastAsia="zh-CN" w:bidi="ar"/>
          <w:woUserID w:val="2"/>
        </w:rPr>
        <w:t>“</w:t>
      </w:r>
      <w:r>
        <w:rPr>
          <w:rFonts w:hint="eastAsia" w:ascii="Times New Roman" w:hAnsi="宋体" w:eastAsia="宋体" w:cs="宋体"/>
          <w:kern w:val="2"/>
          <w:sz w:val="21"/>
          <w:szCs w:val="21"/>
          <w:u w:val="none"/>
          <w:lang w:val="en-US" w:eastAsia="zh-CN" w:bidi="ar"/>
          <w:woUserID w:val="2"/>
        </w:rPr>
        <w:t>投标人须知</w:t>
      </w:r>
      <w:r>
        <w:rPr>
          <w:rFonts w:hint="default" w:ascii="Times New Roman" w:hAnsi="Times New Roman" w:eastAsia="宋体" w:cs="Times New Roman"/>
          <w:kern w:val="2"/>
          <w:sz w:val="21"/>
          <w:szCs w:val="21"/>
          <w:u w:val="none"/>
          <w:lang w:val="en-US" w:eastAsia="zh-CN" w:bidi="ar"/>
          <w:woUserID w:val="2"/>
        </w:rPr>
        <w:t>”</w:t>
      </w:r>
      <w:r>
        <w:rPr>
          <w:rFonts w:hint="eastAsia" w:ascii="Times New Roman" w:hAnsi="宋体" w:eastAsia="宋体" w:cs="宋体"/>
          <w:kern w:val="2"/>
          <w:sz w:val="21"/>
          <w:szCs w:val="21"/>
          <w:u w:val="none"/>
          <w:lang w:val="en-US" w:eastAsia="zh-CN" w:bidi="ar"/>
          <w:woUserID w:val="2"/>
        </w:rPr>
        <w:t>前附表授权直接确定中标人外，评标委员会按照经评审的价格由低到高的顺序推荐中标候选人。</w:t>
      </w:r>
    </w:p>
    <w:p w14:paraId="6EC18FAF">
      <w:pPr>
        <w:ind w:firstLine="420" w:firstLineChars="200"/>
        <w:rPr>
          <w:rFonts w:asciiTheme="minorEastAsia" w:hAnsiTheme="minorEastAsia" w:eastAsiaTheme="minorEastAsia"/>
        </w:rPr>
      </w:pPr>
      <w:r>
        <w:rPr>
          <w:rFonts w:hint="eastAsia" w:asciiTheme="minorEastAsia" w:hAnsiTheme="minorEastAsia" w:eastAsiaTheme="minorEastAsia"/>
        </w:rPr>
        <w:t>3.4.2 评标委员会完成评标后，应当向招标人提交书面评标报告。</w:t>
      </w:r>
    </w:p>
    <w:bookmarkEnd w:id="390"/>
    <w:p w14:paraId="4A17725A">
      <w:r>
        <w:br w:type="page"/>
      </w:r>
      <w:bookmarkStart w:id="399" w:name="_Toc115196050"/>
      <w:bookmarkStart w:id="400" w:name="_Toc22242"/>
      <w:bookmarkStart w:id="401" w:name="_Toc6718"/>
      <w:bookmarkStart w:id="402" w:name="_Toc98504142"/>
    </w:p>
    <w:p w14:paraId="784E7464">
      <w:pPr>
        <w:pStyle w:val="2"/>
        <w:spacing w:line="360" w:lineRule="auto"/>
        <w:jc w:val="center"/>
      </w:pPr>
      <w:r>
        <w:rPr>
          <w:rFonts w:hint="eastAsia"/>
        </w:rPr>
        <w:t>第五章 发包人要求</w:t>
      </w:r>
      <w:bookmarkEnd w:id="399"/>
      <w:bookmarkEnd w:id="400"/>
      <w:bookmarkEnd w:id="401"/>
    </w:p>
    <w:p w14:paraId="25B63E75">
      <w:pPr>
        <w:pStyle w:val="2"/>
        <w:keepNext w:val="0"/>
        <w:keepLines w:val="0"/>
        <w:tabs>
          <w:tab w:val="left" w:pos="0"/>
        </w:tabs>
        <w:spacing w:before="0" w:after="0" w:line="360" w:lineRule="auto"/>
        <w:rPr>
          <w:sz w:val="21"/>
          <w:szCs w:val="21"/>
        </w:rPr>
      </w:pPr>
      <w:bookmarkStart w:id="403" w:name="_Toc115196051"/>
      <w:r>
        <w:rPr>
          <w:sz w:val="21"/>
          <w:szCs w:val="21"/>
        </w:rPr>
        <w:t>一、</w:t>
      </w:r>
      <w:r>
        <w:rPr>
          <w:rFonts w:hint="eastAsia"/>
          <w:sz w:val="21"/>
          <w:szCs w:val="21"/>
        </w:rPr>
        <w:t>功能要求</w:t>
      </w:r>
      <w:bookmarkEnd w:id="403"/>
    </w:p>
    <w:p w14:paraId="4133C427">
      <w:pPr>
        <w:pStyle w:val="3"/>
        <w:numPr>
          <w:ilvl w:val="0"/>
          <w:numId w:val="20"/>
        </w:numPr>
        <w:ind w:left="0" w:firstLine="422" w:firstLineChars="200"/>
      </w:pPr>
      <w:bookmarkStart w:id="404" w:name="_Toc115196052"/>
      <w:r>
        <w:rPr>
          <w:rFonts w:hint="eastAsia"/>
        </w:rPr>
        <w:t>建设目标</w:t>
      </w:r>
      <w:bookmarkEnd w:id="404"/>
    </w:p>
    <w:p w14:paraId="67B8D880">
      <w:pPr>
        <w:pStyle w:val="4"/>
        <w:keepNext w:val="0"/>
        <w:keepLines w:val="0"/>
        <w:numPr>
          <w:ilvl w:val="2"/>
          <w:numId w:val="21"/>
        </w:numPr>
        <w:tabs>
          <w:tab w:val="left" w:pos="851"/>
        </w:tabs>
        <w:spacing w:before="0" w:after="0" w:line="360" w:lineRule="auto"/>
        <w:ind w:left="0" w:firstLine="422" w:firstLineChars="200"/>
        <w:rPr>
          <w:rFonts w:ascii="宋体" w:eastAsia="宋体"/>
          <w:b/>
          <w:sz w:val="21"/>
          <w:szCs w:val="21"/>
        </w:rPr>
      </w:pPr>
      <w:r>
        <w:rPr>
          <w:rFonts w:hint="eastAsia" w:ascii="宋体" w:eastAsia="宋体"/>
          <w:b/>
          <w:sz w:val="21"/>
          <w:szCs w:val="21"/>
        </w:rPr>
        <w:t>项目建设目标</w:t>
      </w:r>
    </w:p>
    <w:p w14:paraId="39611154">
      <w:pPr>
        <w:ind w:firstLine="422"/>
        <w:rPr>
          <w:b/>
        </w:rPr>
      </w:pPr>
      <w:r>
        <w:rPr>
          <w:rFonts w:hint="eastAsia"/>
          <w:b/>
        </w:rPr>
        <w:t>承包人要统筹规划，加强管理，确保实现以下建设目标：</w:t>
      </w:r>
    </w:p>
    <w:p w14:paraId="7F841028">
      <w:pPr>
        <w:pStyle w:val="5"/>
        <w:keepNext w:val="0"/>
        <w:keepLines w:val="0"/>
        <w:numPr>
          <w:ilvl w:val="3"/>
          <w:numId w:val="21"/>
        </w:numPr>
        <w:tabs>
          <w:tab w:val="left" w:pos="851"/>
        </w:tabs>
        <w:spacing w:before="0" w:after="0" w:line="360" w:lineRule="auto"/>
        <w:ind w:left="0" w:firstLine="422" w:firstLineChars="200"/>
        <w:rPr>
          <w:rFonts w:ascii="宋体" w:hAnsi="宋体" w:eastAsia="宋体"/>
          <w:sz w:val="21"/>
          <w:szCs w:val="21"/>
        </w:rPr>
      </w:pPr>
      <w:r>
        <w:rPr>
          <w:rFonts w:hint="eastAsia" w:ascii="宋体" w:hAnsi="宋体" w:eastAsia="宋体"/>
          <w:sz w:val="21"/>
          <w:szCs w:val="21"/>
        </w:rPr>
        <w:t>质量目标</w:t>
      </w:r>
    </w:p>
    <w:p w14:paraId="4C93FDBF">
      <w:pPr>
        <w:pStyle w:val="616"/>
        <w:ind w:firstLine="420"/>
        <w:rPr>
          <w:sz w:val="21"/>
          <w:szCs w:val="21"/>
        </w:rPr>
      </w:pPr>
      <w:r>
        <w:rPr>
          <w:sz w:val="21"/>
          <w:szCs w:val="21"/>
        </w:rPr>
        <w:t>符合</w:t>
      </w:r>
      <w:r>
        <w:rPr>
          <w:rFonts w:hint="eastAsia"/>
          <w:sz w:val="21"/>
          <w:szCs w:val="21"/>
        </w:rPr>
        <w:t>国家、地方、相关规范、标准及建设单位要求，通过地方相关部门的专项验收和整体竣工验收。</w:t>
      </w:r>
    </w:p>
    <w:p w14:paraId="35558CD3">
      <w:pPr>
        <w:pStyle w:val="5"/>
        <w:keepNext w:val="0"/>
        <w:keepLines w:val="0"/>
        <w:numPr>
          <w:ilvl w:val="3"/>
          <w:numId w:val="21"/>
        </w:numPr>
        <w:tabs>
          <w:tab w:val="left" w:pos="851"/>
        </w:tabs>
        <w:spacing w:before="0" w:after="0" w:line="360" w:lineRule="auto"/>
        <w:ind w:left="0" w:firstLine="422" w:firstLineChars="200"/>
        <w:rPr>
          <w:rFonts w:ascii="宋体" w:hAnsi="宋体" w:eastAsia="宋体"/>
          <w:sz w:val="21"/>
          <w:szCs w:val="21"/>
        </w:rPr>
      </w:pPr>
      <w:r>
        <w:rPr>
          <w:rFonts w:hint="eastAsia" w:ascii="宋体" w:hAnsi="宋体" w:eastAsia="宋体"/>
          <w:sz w:val="21"/>
          <w:szCs w:val="21"/>
        </w:rPr>
        <w:t>职业健康安全目标</w:t>
      </w:r>
    </w:p>
    <w:p w14:paraId="235502BF">
      <w:pPr>
        <w:pStyle w:val="616"/>
        <w:ind w:firstLine="420"/>
        <w:rPr>
          <w:sz w:val="21"/>
          <w:szCs w:val="21"/>
        </w:rPr>
      </w:pPr>
      <w:r>
        <w:rPr>
          <w:rFonts w:hint="eastAsia"/>
          <w:sz w:val="21"/>
          <w:szCs w:val="21"/>
        </w:rPr>
        <w:t>安全生产无重伤及重伤以上安全生产事故，无造成不良影响的职业健康事件发生。</w:t>
      </w:r>
    </w:p>
    <w:p w14:paraId="45165CF5">
      <w:pPr>
        <w:pStyle w:val="5"/>
        <w:keepNext w:val="0"/>
        <w:keepLines w:val="0"/>
        <w:numPr>
          <w:ilvl w:val="3"/>
          <w:numId w:val="21"/>
        </w:numPr>
        <w:tabs>
          <w:tab w:val="left" w:pos="851"/>
        </w:tabs>
        <w:spacing w:before="0" w:after="0" w:line="360" w:lineRule="auto"/>
        <w:ind w:left="0" w:firstLine="422" w:firstLineChars="200"/>
        <w:rPr>
          <w:rFonts w:ascii="宋体" w:hAnsi="宋体" w:eastAsia="宋体"/>
          <w:sz w:val="21"/>
          <w:szCs w:val="21"/>
        </w:rPr>
      </w:pPr>
      <w:r>
        <w:rPr>
          <w:rFonts w:hint="eastAsia" w:ascii="宋体" w:hAnsi="宋体" w:eastAsia="宋体"/>
          <w:sz w:val="21"/>
          <w:szCs w:val="21"/>
        </w:rPr>
        <w:t>投控目标</w:t>
      </w:r>
    </w:p>
    <w:p w14:paraId="017B3CD7">
      <w:pPr>
        <w:pStyle w:val="616"/>
        <w:ind w:firstLine="420"/>
        <w:rPr>
          <w:sz w:val="21"/>
          <w:szCs w:val="21"/>
        </w:rPr>
      </w:pPr>
      <w:r>
        <w:rPr>
          <w:rFonts w:hint="eastAsia"/>
          <w:sz w:val="21"/>
          <w:szCs w:val="21"/>
        </w:rPr>
        <w:t>建设工程造价应严格遵循设计概算控制施工图预算、施工图预算控制工程结算的原则，实施全过程造价控制，确保通过项目整体验收。</w:t>
      </w:r>
    </w:p>
    <w:p w14:paraId="367BC25F">
      <w:pPr>
        <w:pStyle w:val="5"/>
        <w:keepNext w:val="0"/>
        <w:keepLines w:val="0"/>
        <w:numPr>
          <w:ilvl w:val="3"/>
          <w:numId w:val="21"/>
        </w:numPr>
        <w:tabs>
          <w:tab w:val="left" w:pos="851"/>
        </w:tabs>
        <w:spacing w:before="0" w:after="0" w:line="360" w:lineRule="auto"/>
        <w:ind w:left="0" w:firstLine="422" w:firstLineChars="200"/>
        <w:rPr>
          <w:rFonts w:ascii="宋体" w:hAnsi="宋体" w:eastAsia="宋体"/>
          <w:sz w:val="21"/>
          <w:szCs w:val="21"/>
        </w:rPr>
      </w:pPr>
      <w:r>
        <w:rPr>
          <w:rFonts w:hint="eastAsia" w:ascii="宋体" w:hAnsi="宋体" w:eastAsia="宋体"/>
          <w:sz w:val="21"/>
          <w:szCs w:val="21"/>
        </w:rPr>
        <w:t>绿色发展目标</w:t>
      </w:r>
    </w:p>
    <w:p w14:paraId="165DF646">
      <w:pPr>
        <w:pStyle w:val="616"/>
        <w:ind w:firstLine="420"/>
        <w:rPr>
          <w:sz w:val="21"/>
          <w:szCs w:val="21"/>
          <w:lang w:bidi="ar"/>
        </w:rPr>
      </w:pPr>
      <w:r>
        <w:rPr>
          <w:rFonts w:hint="eastAsia"/>
          <w:sz w:val="21"/>
          <w:szCs w:val="21"/>
          <w:lang w:bidi="ar"/>
        </w:rPr>
        <w:t>满足国家、地方环境保护法律法规要求，开展以“节能、节水、节地、节材、环保”为主要特征的绿色工房和绿色厂区建设，加大节能、减排、降碳力度，将绿色发展理念贯穿项目建设设计、施工、验收全过程，鼓励加大新技术、新工艺、新材料的使用。</w:t>
      </w:r>
    </w:p>
    <w:p w14:paraId="414C2552">
      <w:pPr>
        <w:pStyle w:val="616"/>
        <w:ind w:firstLine="420"/>
        <w:rPr>
          <w:sz w:val="21"/>
          <w:szCs w:val="21"/>
        </w:rPr>
      </w:pPr>
      <w:r>
        <w:rPr>
          <w:rFonts w:hint="eastAsia"/>
          <w:sz w:val="21"/>
          <w:szCs w:val="21"/>
          <w:lang w:bidi="ar"/>
        </w:rPr>
        <w:t>节能、环境污染防治方面不得使用国家明令禁止的有毒有害及耗能产品，至少满足行业及地方各级节能环保目标要求。</w:t>
      </w:r>
    </w:p>
    <w:p w14:paraId="15636F3C">
      <w:pPr>
        <w:pStyle w:val="5"/>
        <w:keepNext w:val="0"/>
        <w:keepLines w:val="0"/>
        <w:numPr>
          <w:ilvl w:val="3"/>
          <w:numId w:val="21"/>
        </w:numPr>
        <w:tabs>
          <w:tab w:val="left" w:pos="851"/>
        </w:tabs>
        <w:spacing w:before="0" w:after="0" w:line="360" w:lineRule="auto"/>
        <w:ind w:left="0" w:firstLine="422" w:firstLineChars="200"/>
        <w:rPr>
          <w:rFonts w:ascii="宋体" w:hAnsi="宋体" w:eastAsia="宋体"/>
          <w:sz w:val="21"/>
          <w:szCs w:val="21"/>
        </w:rPr>
      </w:pPr>
      <w:r>
        <w:rPr>
          <w:rFonts w:hint="eastAsia" w:ascii="宋体" w:hAnsi="宋体" w:eastAsia="宋体"/>
          <w:sz w:val="21"/>
          <w:szCs w:val="21"/>
        </w:rPr>
        <w:t>工期目标：不允许超总工期要求。</w:t>
      </w:r>
    </w:p>
    <w:p w14:paraId="709F9152">
      <w:pPr>
        <w:pStyle w:val="45"/>
        <w:ind w:firstLine="420"/>
      </w:pPr>
      <w:r>
        <w:rPr>
          <w:rFonts w:hint="eastAsia" w:eastAsia="宋体"/>
          <w:szCs w:val="21"/>
        </w:rPr>
        <w:t>验收目标：验收质量合格。</w:t>
      </w:r>
      <w:bookmarkEnd w:id="402"/>
    </w:p>
    <w:p w14:paraId="7250B1A9">
      <w:pPr>
        <w:ind w:firstLine="420"/>
        <w:jc w:val="center"/>
        <w:rPr>
          <w:rFonts w:ascii="黑体" w:eastAsia="黑体"/>
          <w:sz w:val="28"/>
          <w:szCs w:val="28"/>
        </w:rPr>
      </w:pPr>
      <w:r>
        <w:rPr>
          <w:rFonts w:hint="eastAsia"/>
          <w:b/>
          <w:sz w:val="32"/>
          <w:szCs w:val="32"/>
        </w:rPr>
        <w:t xml:space="preserve"> </w:t>
      </w:r>
    </w:p>
    <w:p w14:paraId="0E1DC099">
      <w:pPr>
        <w:ind w:firstLine="319" w:firstLineChars="152"/>
        <w:rPr>
          <w:szCs w:val="21"/>
        </w:rPr>
      </w:pPr>
    </w:p>
    <w:p w14:paraId="49196AB3">
      <w:r>
        <w:br w:type="page"/>
      </w:r>
    </w:p>
    <w:p w14:paraId="3E8288F7">
      <w:pPr>
        <w:pStyle w:val="2"/>
        <w:spacing w:line="360" w:lineRule="auto"/>
        <w:jc w:val="center"/>
        <w:rPr>
          <w:rFonts w:hint="default" w:eastAsia="宋体"/>
          <w:sz w:val="21"/>
          <w:szCs w:val="21"/>
          <w:lang w:val="en-US" w:eastAsia="zh-CN"/>
        </w:rPr>
      </w:pPr>
      <w:bookmarkStart w:id="405" w:name="_Toc247527826"/>
      <w:bookmarkStart w:id="406" w:name="_Toc144974855"/>
      <w:bookmarkStart w:id="407" w:name="_Toc115196114"/>
      <w:bookmarkStart w:id="408" w:name="_Toc98504144"/>
      <w:bookmarkStart w:id="409" w:name="_Toc152045786"/>
      <w:bookmarkStart w:id="410" w:name="_Toc247514245"/>
      <w:bookmarkStart w:id="411" w:name="_Toc152042575"/>
      <w:r>
        <w:rPr>
          <w:rFonts w:hint="eastAsia"/>
          <w:sz w:val="21"/>
          <w:szCs w:val="21"/>
          <w:lang w:eastAsia="zh-CN"/>
        </w:rPr>
        <w:t>第六章</w:t>
      </w:r>
      <w:r>
        <w:rPr>
          <w:rFonts w:hint="eastAsia"/>
          <w:sz w:val="21"/>
          <w:szCs w:val="21"/>
          <w:lang w:val="en-US" w:eastAsia="zh-CN"/>
        </w:rPr>
        <w:t xml:space="preserve"> 合同条款格式</w:t>
      </w:r>
    </w:p>
    <w:p w14:paraId="7730B3BE">
      <w:pPr>
        <w:adjustRightInd w:val="0"/>
        <w:snapToGrid w:val="0"/>
        <w:spacing w:line="348"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发包方：</w:t>
      </w:r>
      <w:r>
        <w:rPr>
          <w:rFonts w:hint="eastAsia" w:ascii="Times New Roman" w:hAnsi="Times New Roman" w:eastAsia="宋体" w:cs="Times New Roman"/>
          <w:sz w:val="21"/>
          <w:szCs w:val="21"/>
          <w:u w:val="single"/>
        </w:rPr>
        <w:t xml:space="preserve">盐城市联鑫钢铁有限公司               </w:t>
      </w:r>
    </w:p>
    <w:p w14:paraId="3E9E9C94">
      <w:pPr>
        <w:adjustRightInd w:val="0"/>
        <w:snapToGrid w:val="0"/>
        <w:spacing w:line="348"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承包方：</w:t>
      </w:r>
      <w:r>
        <w:rPr>
          <w:rFonts w:hint="eastAsia" w:ascii="Times New Roman" w:hAnsi="Times New Roman" w:eastAsia="宋体" w:cs="Times New Roman"/>
          <w:sz w:val="21"/>
          <w:szCs w:val="21"/>
          <w:u w:val="single"/>
        </w:rPr>
        <w:t xml:space="preserve">                                                           </w:t>
      </w:r>
    </w:p>
    <w:p w14:paraId="13CE6BD7">
      <w:pPr>
        <w:adjustRightInd w:val="0"/>
        <w:snapToGrid w:val="0"/>
        <w:spacing w:line="348"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根据《中华人民共和国民法典》、《中华人民共和国建筑法》及其他有关的法律、行政法规，遵循平等、自愿、公平和诚实信用的原则，双方就</w:t>
      </w:r>
      <w:r>
        <w:rPr>
          <w:rFonts w:ascii="Times New Roman" w:hAnsi="Times New Roman" w:eastAsia="宋体" w:cs="Times New Roman"/>
          <w:sz w:val="21"/>
          <w:szCs w:val="21"/>
          <w:u w:val="single"/>
        </w:rPr>
        <w:t>盐城市联鑫钢铁有限公司优特钢升级改造项目</w:t>
      </w:r>
      <w:r>
        <w:rPr>
          <w:rFonts w:ascii="Times New Roman" w:hAnsi="Times New Roman" w:eastAsia="宋体" w:cs="Times New Roman"/>
          <w:sz w:val="21"/>
          <w:szCs w:val="21"/>
        </w:rPr>
        <w:t>及有关事项协商一致，共同达成如下协议：</w:t>
      </w:r>
    </w:p>
    <w:p w14:paraId="6773B78A">
      <w:pPr>
        <w:pStyle w:val="2"/>
        <w:adjustRightInd w:val="0"/>
        <w:snapToGrid w:val="0"/>
        <w:spacing w:before="156" w:beforeLines="50" w:after="0" w:line="348" w:lineRule="auto"/>
        <w:rPr>
          <w:rFonts w:ascii="Times New Roman" w:hAnsi="Times New Roman" w:cs="Times New Roman"/>
          <w:sz w:val="21"/>
          <w:szCs w:val="21"/>
        </w:rPr>
      </w:pPr>
      <w:bookmarkStart w:id="412" w:name="_Toc182261734"/>
      <w:r>
        <w:rPr>
          <w:rFonts w:ascii="Times New Roman" w:hAnsi="Times New Roman" w:cs="Times New Roman"/>
          <w:sz w:val="21"/>
          <w:szCs w:val="21"/>
        </w:rPr>
        <w:t>第一条 项目概况</w:t>
      </w:r>
      <w:bookmarkEnd w:id="412"/>
    </w:p>
    <w:p w14:paraId="673DE33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 项目名称：</w:t>
      </w:r>
      <w:r>
        <w:rPr>
          <w:rFonts w:hint="eastAsia" w:ascii="Times New Roman" w:hAnsi="Times New Roman" w:eastAsia="宋体" w:cs="Times New Roman"/>
          <w:sz w:val="21"/>
          <w:szCs w:val="21"/>
          <w:u w:val="single"/>
        </w:rPr>
        <w:t>盐城市联鑫钢铁有限公司优特钢升级改造项目</w:t>
      </w:r>
    </w:p>
    <w:p w14:paraId="311C1A3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1.2 项目地点：</w:t>
      </w:r>
      <w:r>
        <w:rPr>
          <w:rFonts w:hint="eastAsia" w:ascii="Times New Roman" w:hAnsi="Times New Roman" w:eastAsia="宋体" w:cs="Times New Roman"/>
          <w:sz w:val="21"/>
          <w:szCs w:val="21"/>
          <w:u w:val="single"/>
        </w:rPr>
        <w:t>江苏省盐城市大丰区</w:t>
      </w:r>
    </w:p>
    <w:p w14:paraId="641026B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1.3 项目性质：</w:t>
      </w:r>
      <w:r>
        <w:rPr>
          <w:rFonts w:hint="eastAsia" w:ascii="Times New Roman" w:hAnsi="Times New Roman" w:eastAsia="宋体" w:cs="Times New Roman"/>
          <w:sz w:val="21"/>
          <w:szCs w:val="21"/>
          <w:u w:val="single"/>
        </w:rPr>
        <w:t>EPC总承包</w:t>
      </w:r>
    </w:p>
    <w:p w14:paraId="102D71E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 项目合同额：</w:t>
      </w:r>
      <w:r>
        <w:rPr>
          <w:rFonts w:hint="eastAsia" w:ascii="Times New Roman" w:hAnsi="Times New Roman" w:eastAsia="宋体" w:cs="Times New Roman"/>
          <w:sz w:val="21"/>
          <w:szCs w:val="21"/>
          <w:u w:val="single"/>
        </w:rPr>
        <w:t xml:space="preserve">含税价：                </w:t>
      </w:r>
      <w:r>
        <w:rPr>
          <w:rFonts w:hint="eastAsia" w:ascii="Times New Roman" w:hAnsi="Times New Roman" w:eastAsia="宋体" w:cs="Times New Roman"/>
          <w:sz w:val="21"/>
          <w:szCs w:val="21"/>
        </w:rPr>
        <w:t>（大写：________）</w:t>
      </w:r>
    </w:p>
    <w:p w14:paraId="0FACAE7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 项目范围：包含本总承包项目规定交接点范围内的设计、采购、施工、单体试车、无负荷联动试车、热负荷联动试车（配合）、人员培训、操作指导、考核验收（配合）、保证工程正常投运的全过程内容。详见合同技术附件。</w:t>
      </w:r>
    </w:p>
    <w:p w14:paraId="4B12A66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1.6 项目规模及内容：</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详见合同技术附件。</w:t>
      </w:r>
    </w:p>
    <w:p w14:paraId="05231CE5">
      <w:pPr>
        <w:pStyle w:val="2"/>
        <w:adjustRightInd w:val="0"/>
        <w:snapToGrid w:val="0"/>
        <w:spacing w:before="156" w:beforeLines="50" w:after="0" w:line="348" w:lineRule="auto"/>
        <w:rPr>
          <w:rFonts w:ascii="Times New Roman" w:hAnsi="Times New Roman" w:cs="Times New Roman"/>
          <w:sz w:val="21"/>
          <w:szCs w:val="21"/>
        </w:rPr>
      </w:pPr>
      <w:bookmarkStart w:id="413" w:name="_Toc182261735"/>
      <w:r>
        <w:rPr>
          <w:rFonts w:hint="eastAsia" w:ascii="Times New Roman" w:hAnsi="Times New Roman" w:cs="Times New Roman"/>
          <w:sz w:val="21"/>
          <w:szCs w:val="21"/>
        </w:rPr>
        <w:t>第二条 项目工期</w:t>
      </w:r>
      <w:bookmarkEnd w:id="413"/>
    </w:p>
    <w:p w14:paraId="73E66F9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工期总日历天数：</w:t>
      </w:r>
      <w:r>
        <w:rPr>
          <w:rFonts w:hint="eastAsia" w:ascii="Times New Roman" w:hAnsi="Times New Roman" w:eastAsia="宋体" w:cs="Times New Roman"/>
          <w:sz w:val="21"/>
          <w:szCs w:val="21"/>
          <w:u w:val="single"/>
        </w:rPr>
        <w:t>合同双方签字盖章正式生效后，LF炉8个月具备投产条件，VD炉和连铸11个月具备投产条件，轧钢于引进设备运抵现场后3个月具备投产条件；工期有±15天的调整时间。</w:t>
      </w:r>
    </w:p>
    <w:p w14:paraId="18CEAF36">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项目工期的详细网络计划详见合同技术附件。</w:t>
      </w:r>
    </w:p>
    <w:p w14:paraId="3735F8F3">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项目投产的定义：</w:t>
      </w:r>
      <w:r>
        <w:rPr>
          <w:rFonts w:hint="eastAsia" w:ascii="Times New Roman" w:hAnsi="Times New Roman" w:eastAsia="宋体" w:cs="Times New Roman"/>
          <w:sz w:val="21"/>
          <w:szCs w:val="21"/>
          <w:u w:val="single"/>
        </w:rPr>
        <w:t>连铸生产出第一根合格铸坯，轧线生产出第一根合格棒材产品。</w:t>
      </w:r>
    </w:p>
    <w:p w14:paraId="2975942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若因特殊原因需对工期进行调整，以双方的书面签字文件为准。</w:t>
      </w:r>
    </w:p>
    <w:p w14:paraId="49A55226">
      <w:pPr>
        <w:pStyle w:val="2"/>
        <w:adjustRightInd w:val="0"/>
        <w:snapToGrid w:val="0"/>
        <w:spacing w:before="156" w:beforeLines="50" w:after="0" w:line="348" w:lineRule="auto"/>
        <w:rPr>
          <w:rFonts w:ascii="Times New Roman" w:hAnsi="Times New Roman" w:cs="Times New Roman"/>
          <w:sz w:val="21"/>
          <w:szCs w:val="21"/>
        </w:rPr>
      </w:pPr>
      <w:bookmarkStart w:id="414" w:name="_Toc182261736"/>
      <w:r>
        <w:rPr>
          <w:rFonts w:hint="eastAsia" w:ascii="Times New Roman" w:hAnsi="Times New Roman" w:cs="Times New Roman"/>
          <w:sz w:val="21"/>
          <w:szCs w:val="21"/>
        </w:rPr>
        <w:t>第三条 质量标准</w:t>
      </w:r>
      <w:bookmarkEnd w:id="414"/>
    </w:p>
    <w:p w14:paraId="6046441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本工程适用规范、标准详见国家和行业现行标准。有关规范、标准如有不同或更新，以合同签订时为准。如合同签订后至履行完毕前国家对建工领域强制性标准有修改调整的，应当以修改调整后的强制性标准为准。</w:t>
      </w:r>
    </w:p>
    <w:p w14:paraId="21066AE4">
      <w:pPr>
        <w:pStyle w:val="2"/>
        <w:adjustRightInd w:val="0"/>
        <w:snapToGrid w:val="0"/>
        <w:spacing w:before="156" w:beforeLines="50" w:after="0" w:line="348" w:lineRule="auto"/>
        <w:rPr>
          <w:rFonts w:ascii="Times New Roman" w:hAnsi="Times New Roman" w:cs="Times New Roman"/>
          <w:sz w:val="21"/>
          <w:szCs w:val="21"/>
        </w:rPr>
      </w:pPr>
      <w:bookmarkStart w:id="415" w:name="_Toc182261737"/>
      <w:r>
        <w:rPr>
          <w:rFonts w:hint="eastAsia" w:ascii="Times New Roman" w:hAnsi="Times New Roman" w:cs="Times New Roman"/>
          <w:sz w:val="21"/>
          <w:szCs w:val="21"/>
        </w:rPr>
        <w:t>第四条 联络人</w:t>
      </w:r>
      <w:bookmarkEnd w:id="415"/>
    </w:p>
    <w:p w14:paraId="7F513F3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4.1 发包方代表</w:t>
      </w:r>
    </w:p>
    <w:p w14:paraId="0A7E9E6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发包方代表姓名：</w:t>
      </w:r>
    </w:p>
    <w:p w14:paraId="4902501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发包方代表身份证号：</w:t>
      </w:r>
    </w:p>
    <w:p w14:paraId="4FFECFE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发包方代表联系方式：</w:t>
      </w:r>
    </w:p>
    <w:p w14:paraId="4FEA6C3D">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发包方指定的送达方式（包括电子传输方式）：纸质邮寄或电子邮箱，</w:t>
      </w:r>
    </w:p>
    <w:p w14:paraId="5A852DA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发包方的送达地址：</w:t>
      </w:r>
    </w:p>
    <w:p w14:paraId="790B4242">
      <w:pPr>
        <w:adjustRightInd w:val="0"/>
        <w:snapToGrid w:val="0"/>
        <w:spacing w:line="348" w:lineRule="auto"/>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 xml:space="preserve">4.2 </w:t>
      </w:r>
      <w:r>
        <w:rPr>
          <w:rFonts w:hint="eastAsia" w:ascii="Times New Roman" w:hAnsi="Times New Roman" w:eastAsia="宋体" w:cs="Times New Roman"/>
          <w:sz w:val="21"/>
          <w:szCs w:val="21"/>
        </w:rPr>
        <w:t>承包方代表</w:t>
      </w:r>
    </w:p>
    <w:p w14:paraId="7BC430BC">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承包方代表姓名：</w:t>
      </w:r>
    </w:p>
    <w:p w14:paraId="56BBAFBC">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承包方代表身份证号：</w:t>
      </w:r>
    </w:p>
    <w:p w14:paraId="27315B22">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承包方代表联系方式：</w:t>
      </w:r>
    </w:p>
    <w:p w14:paraId="5F3B2B8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承包方代表职称证书及编号：</w:t>
      </w:r>
    </w:p>
    <w:p w14:paraId="778A626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承包方指定的送达方式（包括电子传输方式）：</w:t>
      </w:r>
    </w:p>
    <w:p w14:paraId="07718F40">
      <w:pPr>
        <w:adjustRightInd w:val="0"/>
        <w:snapToGrid w:val="0"/>
        <w:spacing w:line="348" w:lineRule="auto"/>
        <w:ind w:firstLine="420" w:firstLineChars="200"/>
        <w:rPr>
          <w:rFonts w:ascii="Times New Roman" w:hAnsi="Times New Roman" w:eastAsia="宋体" w:cs="Times New Roman"/>
          <w:sz w:val="21"/>
          <w:szCs w:val="21"/>
          <w:u w:val="single"/>
        </w:rPr>
      </w:pPr>
      <w:r>
        <w:rPr>
          <w:rFonts w:hint="eastAsia" w:ascii="Times New Roman" w:hAnsi="Times New Roman" w:eastAsia="宋体" w:cs="Times New Roman"/>
          <w:sz w:val="21"/>
          <w:szCs w:val="21"/>
        </w:rPr>
        <w:t>承包方的送达地址：</w:t>
      </w:r>
    </w:p>
    <w:p w14:paraId="38F1A606">
      <w:pPr>
        <w:pStyle w:val="2"/>
        <w:adjustRightInd w:val="0"/>
        <w:snapToGrid w:val="0"/>
        <w:spacing w:before="156" w:beforeLines="50" w:after="0" w:line="348" w:lineRule="auto"/>
        <w:rPr>
          <w:rFonts w:ascii="Times New Roman" w:hAnsi="Times New Roman" w:cs="Times New Roman"/>
          <w:sz w:val="21"/>
          <w:szCs w:val="21"/>
        </w:rPr>
      </w:pPr>
      <w:bookmarkStart w:id="416" w:name="_Toc182261738"/>
      <w:r>
        <w:rPr>
          <w:rFonts w:hint="eastAsia" w:ascii="Times New Roman" w:hAnsi="Times New Roman" w:cs="Times New Roman"/>
          <w:sz w:val="21"/>
          <w:szCs w:val="21"/>
        </w:rPr>
        <w:t>第五条 合同文件构成</w:t>
      </w:r>
      <w:bookmarkEnd w:id="416"/>
    </w:p>
    <w:p w14:paraId="6228B7CE">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本合同与下列文件一起构成合同文件，这些合同文件互相解释、互为说明，组成本合同的文件及优先解释顺序如下：</w:t>
      </w:r>
    </w:p>
    <w:p w14:paraId="6472D45E">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1）合同协议书；</w:t>
      </w:r>
    </w:p>
    <w:p w14:paraId="56B3C9D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2）合同条款及其附件；</w:t>
      </w:r>
    </w:p>
    <w:p w14:paraId="0E12884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3）中标通知书；</w:t>
      </w:r>
    </w:p>
    <w:p w14:paraId="1BFD16C2">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4）技术标准和要求；</w:t>
      </w:r>
    </w:p>
    <w:p w14:paraId="4A1BF86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5）图纸；</w:t>
      </w:r>
    </w:p>
    <w:p w14:paraId="46C2A38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6）工程量清单和概算书；</w:t>
      </w:r>
    </w:p>
    <w:p w14:paraId="54167207">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7）其他合同文件。</w:t>
      </w:r>
    </w:p>
    <w:p w14:paraId="6581D03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双方在履行合同过程中形成的通知、会议纪要、备忘录、补充文件、指令、传真、电子邮件、变更和洽商等书面形式的文件也构成本合同的组成部分；在没有特别约定的情况下，优先解释顺序按照后者优于前者的原则确定。</w:t>
      </w:r>
    </w:p>
    <w:p w14:paraId="50DB0E92">
      <w:pPr>
        <w:pStyle w:val="2"/>
        <w:adjustRightInd w:val="0"/>
        <w:snapToGrid w:val="0"/>
        <w:spacing w:before="156" w:beforeLines="50" w:after="0" w:line="348" w:lineRule="auto"/>
        <w:rPr>
          <w:rFonts w:ascii="Times New Roman" w:hAnsi="Times New Roman" w:cs="Times New Roman"/>
          <w:sz w:val="21"/>
          <w:szCs w:val="21"/>
        </w:rPr>
      </w:pPr>
      <w:bookmarkStart w:id="417" w:name="_Toc182261739"/>
      <w:r>
        <w:rPr>
          <w:rFonts w:hint="eastAsia" w:ascii="Times New Roman" w:hAnsi="Times New Roman" w:cs="Times New Roman"/>
          <w:sz w:val="21"/>
          <w:szCs w:val="21"/>
        </w:rPr>
        <w:t>第六条 合同价格</w:t>
      </w:r>
      <w:bookmarkEnd w:id="417"/>
    </w:p>
    <w:p w14:paraId="52A44FA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6.1 本总承包项目合同总价为：（大写：含税）。</w:t>
      </w:r>
    </w:p>
    <w:p w14:paraId="26C3BE1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6.2 本总承包项目合同价格明细组成及说明如下：</w:t>
      </w:r>
    </w:p>
    <w:tbl>
      <w:tblPr>
        <w:tblStyle w:val="47"/>
        <w:tblW w:w="90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18"/>
        <w:gridCol w:w="1417"/>
        <w:gridCol w:w="1417"/>
        <w:gridCol w:w="2268"/>
      </w:tblGrid>
      <w:tr w14:paraId="468FD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A7A239D">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3118" w:type="dxa"/>
            <w:vAlign w:val="center"/>
          </w:tcPr>
          <w:p w14:paraId="5AB4F503">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w:t>
            </w:r>
          </w:p>
        </w:tc>
        <w:tc>
          <w:tcPr>
            <w:tcW w:w="1417" w:type="dxa"/>
            <w:vAlign w:val="center"/>
          </w:tcPr>
          <w:p w14:paraId="382F1476">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含税价</w:t>
            </w:r>
          </w:p>
          <w:p w14:paraId="6B286237">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（万元）</w:t>
            </w:r>
          </w:p>
        </w:tc>
        <w:tc>
          <w:tcPr>
            <w:tcW w:w="1417" w:type="dxa"/>
            <w:vAlign w:val="center"/>
          </w:tcPr>
          <w:p w14:paraId="37772947">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不含税价</w:t>
            </w:r>
          </w:p>
          <w:p w14:paraId="074CBA24">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（万元）</w:t>
            </w:r>
          </w:p>
        </w:tc>
        <w:tc>
          <w:tcPr>
            <w:tcW w:w="2268" w:type="dxa"/>
            <w:vAlign w:val="center"/>
          </w:tcPr>
          <w:p w14:paraId="258DA8C2">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备注</w:t>
            </w:r>
          </w:p>
        </w:tc>
      </w:tr>
      <w:tr w14:paraId="21B8C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0" w:type="dxa"/>
          </w:tcPr>
          <w:p w14:paraId="18525EFE">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118" w:type="dxa"/>
            <w:vAlign w:val="center"/>
          </w:tcPr>
          <w:p w14:paraId="2B12FB82">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设计费</w:t>
            </w:r>
          </w:p>
        </w:tc>
        <w:tc>
          <w:tcPr>
            <w:tcW w:w="1417" w:type="dxa"/>
            <w:vAlign w:val="center"/>
          </w:tcPr>
          <w:p w14:paraId="12477DC6">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1417" w:type="dxa"/>
            <w:vAlign w:val="center"/>
          </w:tcPr>
          <w:p w14:paraId="5BB0DCB6">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2268" w:type="dxa"/>
            <w:vAlign w:val="center"/>
          </w:tcPr>
          <w:p w14:paraId="2B100C68">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暂定价，税率6%</w:t>
            </w:r>
          </w:p>
        </w:tc>
      </w:tr>
      <w:tr w14:paraId="4FCF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0" w:type="dxa"/>
          </w:tcPr>
          <w:p w14:paraId="48B34C95">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118" w:type="dxa"/>
            <w:vAlign w:val="center"/>
          </w:tcPr>
          <w:p w14:paraId="218DC09B">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技术总负责费</w:t>
            </w:r>
          </w:p>
        </w:tc>
        <w:tc>
          <w:tcPr>
            <w:tcW w:w="1417" w:type="dxa"/>
            <w:vAlign w:val="center"/>
          </w:tcPr>
          <w:p w14:paraId="5622B0EE">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1417" w:type="dxa"/>
            <w:vAlign w:val="center"/>
          </w:tcPr>
          <w:p w14:paraId="0BEA8443">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2268" w:type="dxa"/>
            <w:vAlign w:val="center"/>
          </w:tcPr>
          <w:p w14:paraId="3EE0C419">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暂定价，税率6%</w:t>
            </w:r>
          </w:p>
        </w:tc>
      </w:tr>
      <w:tr w14:paraId="1E988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0" w:type="dxa"/>
          </w:tcPr>
          <w:p w14:paraId="41CBD20C">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3</w:t>
            </w:r>
          </w:p>
        </w:tc>
        <w:tc>
          <w:tcPr>
            <w:tcW w:w="3118" w:type="dxa"/>
            <w:vAlign w:val="center"/>
          </w:tcPr>
          <w:p w14:paraId="4345F046">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设备费</w:t>
            </w:r>
          </w:p>
        </w:tc>
        <w:tc>
          <w:tcPr>
            <w:tcW w:w="1417" w:type="dxa"/>
            <w:vAlign w:val="center"/>
          </w:tcPr>
          <w:p w14:paraId="6D1F8611">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1417" w:type="dxa"/>
            <w:vAlign w:val="center"/>
          </w:tcPr>
          <w:p w14:paraId="6D6735CE">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2268" w:type="dxa"/>
            <w:vAlign w:val="center"/>
          </w:tcPr>
          <w:p w14:paraId="2B8814F3">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暂定价，税率13%</w:t>
            </w:r>
          </w:p>
        </w:tc>
      </w:tr>
      <w:tr w14:paraId="28855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0" w:type="dxa"/>
          </w:tcPr>
          <w:p w14:paraId="38842D8F">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4</w:t>
            </w:r>
          </w:p>
        </w:tc>
        <w:tc>
          <w:tcPr>
            <w:tcW w:w="3118" w:type="dxa"/>
            <w:vAlign w:val="center"/>
          </w:tcPr>
          <w:p w14:paraId="41D498FF">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建安费</w:t>
            </w:r>
          </w:p>
        </w:tc>
        <w:tc>
          <w:tcPr>
            <w:tcW w:w="1417" w:type="dxa"/>
            <w:vAlign w:val="center"/>
          </w:tcPr>
          <w:p w14:paraId="13FE4482">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1417" w:type="dxa"/>
            <w:vAlign w:val="center"/>
          </w:tcPr>
          <w:p w14:paraId="1C96E8D9">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sz w:val="21"/>
                <w:szCs w:val="21"/>
              </w:rPr>
            </w:pPr>
          </w:p>
        </w:tc>
        <w:tc>
          <w:tcPr>
            <w:tcW w:w="2268" w:type="dxa"/>
            <w:vAlign w:val="center"/>
          </w:tcPr>
          <w:p w14:paraId="646F9A75">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sz w:val="21"/>
                <w:szCs w:val="21"/>
              </w:rPr>
            </w:pPr>
            <w:r>
              <w:rPr>
                <w:rFonts w:hint="default" w:ascii="Times New Roman" w:hAnsi="Times New Roman" w:cs="Times New Roman"/>
                <w:color w:val="000000"/>
                <w:sz w:val="21"/>
                <w:szCs w:val="21"/>
              </w:rPr>
              <w:t>暂定价，税率9%</w:t>
            </w:r>
          </w:p>
        </w:tc>
      </w:tr>
      <w:tr w14:paraId="427C3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8" w:type="dxa"/>
            <w:gridSpan w:val="2"/>
          </w:tcPr>
          <w:p w14:paraId="37C3A8C4">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总计</w:t>
            </w:r>
          </w:p>
        </w:tc>
        <w:tc>
          <w:tcPr>
            <w:tcW w:w="1417" w:type="dxa"/>
            <w:vAlign w:val="center"/>
          </w:tcPr>
          <w:p w14:paraId="682E3055">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color w:val="000000"/>
                <w:sz w:val="21"/>
                <w:szCs w:val="21"/>
              </w:rPr>
            </w:pPr>
          </w:p>
        </w:tc>
        <w:tc>
          <w:tcPr>
            <w:tcW w:w="1417" w:type="dxa"/>
            <w:vAlign w:val="center"/>
          </w:tcPr>
          <w:p w14:paraId="4F011182">
            <w:pPr>
              <w:keepNext w:val="0"/>
              <w:keepLines w:val="0"/>
              <w:suppressLineNumbers w:val="0"/>
              <w:adjustRightInd w:val="0"/>
              <w:snapToGrid w:val="0"/>
              <w:spacing w:before="0" w:beforeAutospacing="0" w:after="0" w:afterAutospacing="0" w:line="288" w:lineRule="auto"/>
              <w:ind w:left="0" w:right="0"/>
              <w:jc w:val="center"/>
              <w:rPr>
                <w:rFonts w:hint="default" w:ascii="Times New Roman" w:hAnsi="Times New Roman" w:cs="Times New Roman"/>
                <w:b/>
                <w:bCs/>
                <w:color w:val="000000"/>
                <w:sz w:val="21"/>
                <w:szCs w:val="21"/>
              </w:rPr>
            </w:pPr>
          </w:p>
        </w:tc>
        <w:tc>
          <w:tcPr>
            <w:tcW w:w="2268" w:type="dxa"/>
            <w:vAlign w:val="center"/>
          </w:tcPr>
          <w:p w14:paraId="77097FE4">
            <w:pPr>
              <w:keepNext w:val="0"/>
              <w:keepLines w:val="0"/>
              <w:suppressLineNumbers w:val="0"/>
              <w:adjustRightInd w:val="0"/>
              <w:snapToGrid w:val="0"/>
              <w:spacing w:before="0" w:beforeAutospacing="0" w:after="0" w:afterAutospacing="0" w:line="288" w:lineRule="auto"/>
              <w:ind w:left="0" w:right="0"/>
              <w:jc w:val="left"/>
              <w:rPr>
                <w:rFonts w:hint="default" w:ascii="Times New Roman" w:hAnsi="Times New Roman" w:cs="Times New Roman"/>
                <w:color w:val="000000"/>
                <w:sz w:val="21"/>
                <w:szCs w:val="21"/>
              </w:rPr>
            </w:pPr>
          </w:p>
        </w:tc>
      </w:tr>
    </w:tbl>
    <w:p w14:paraId="4A0B5A17">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6.3 如遇国家税率调整，以上各类别费用的不含税价格不变，含税价格随之调整。</w:t>
      </w:r>
    </w:p>
    <w:p w14:paraId="3C6EBAF5">
      <w:pPr>
        <w:pStyle w:val="2"/>
        <w:adjustRightInd w:val="0"/>
        <w:snapToGrid w:val="0"/>
        <w:spacing w:before="156" w:beforeLines="50" w:after="0" w:line="348" w:lineRule="auto"/>
        <w:rPr>
          <w:rFonts w:ascii="Times New Roman" w:hAnsi="Times New Roman" w:cs="Times New Roman"/>
          <w:sz w:val="21"/>
          <w:szCs w:val="21"/>
        </w:rPr>
      </w:pPr>
      <w:bookmarkStart w:id="418" w:name="_Toc182261740"/>
      <w:r>
        <w:rPr>
          <w:rFonts w:hint="eastAsia" w:ascii="Times New Roman" w:hAnsi="Times New Roman" w:cs="Times New Roman"/>
          <w:sz w:val="21"/>
          <w:szCs w:val="21"/>
        </w:rPr>
        <w:t>第七条 支付条件与支付方式</w:t>
      </w:r>
      <w:bookmarkEnd w:id="418"/>
    </w:p>
    <w:p w14:paraId="5D74938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 支付条件：</w:t>
      </w:r>
    </w:p>
    <w:p w14:paraId="15BAD5FD">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7.1.1 设计费</w:t>
      </w:r>
    </w:p>
    <w:p w14:paraId="351B6EB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7.1.1.1 双方合同正式签订并生效后20天内，发包方支付设计费的15%作为预付款（现汇）。</w:t>
      </w:r>
    </w:p>
    <w:p w14:paraId="1513FA7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7.1.1.2 初步设计完成并通过发包方审查后10天内，支付设计费的20%作为进度款。</w:t>
      </w:r>
    </w:p>
    <w:p w14:paraId="1A3E070D">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7.1.1.3 主要施工图（设备基础图、车间内管线施工图、动力电缆敷设图）设计完成后20天内，发包方支付设计费的25%作为进度款。</w:t>
      </w:r>
    </w:p>
    <w:p w14:paraId="61F916F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7.1.1.4 设计费的剩余款项于本项目投产后，发包方按18个月等额（不计息）的方式进行支付。</w:t>
      </w:r>
    </w:p>
    <w:p w14:paraId="013DC98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7.1.2 技术总负责费</w:t>
      </w:r>
    </w:p>
    <w:p w14:paraId="228D794E">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7.1.2.1 双方合同正式签订并生效后20天内，发包方支付技术总负责费的15%作为预付款（现汇）。</w:t>
      </w:r>
    </w:p>
    <w:p w14:paraId="5F669476">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7.1.2.2 项目投产后20天内，发包方支付技术总负责费的45%作为进度款。</w:t>
      </w:r>
    </w:p>
    <w:p w14:paraId="4DACD10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7.1.2.3 技术总负责费的剩余款项于本项目投产后，发包方按18个月等额（不计息）的方式进行支付。</w:t>
      </w:r>
    </w:p>
    <w:p w14:paraId="7AB8A6C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 设备费</w:t>
      </w:r>
    </w:p>
    <w:p w14:paraId="09D68DC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7.1.3.1 双方合同正式签订并生效后20天内，发包方支付设备费的10%作为预付款（现汇）。</w:t>
      </w:r>
    </w:p>
    <w:p w14:paraId="1FC56E6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7.1.3.2 承包方与设备供应商签订主要工艺设备（LF炉、VD炉、连铸机、粗中轧机、行车）合同后20天内，发包方支付设备费的15%作为进度款。</w:t>
      </w:r>
    </w:p>
    <w:p w14:paraId="5E233A2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7.1.3.3主要工艺设备（LF炉、VD炉、连铸机、粗中轧机、行车）具备发货条件后20天内，发包方支付设备费的15%作为进度款。</w:t>
      </w:r>
    </w:p>
    <w:p w14:paraId="448CC36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7.1.3.4 主要工艺设备（LF炉、VD炉、连铸机、粗中轧机、行车）运抵现场后20天内，发包方支付设备费的10%作为进度款。</w:t>
      </w:r>
    </w:p>
    <w:p w14:paraId="2BBF631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7.1.3.5 设备安装完成后20天内，发包方支付设备费的10%作为进度款。</w:t>
      </w:r>
    </w:p>
    <w:p w14:paraId="3A914A7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7.1.3.6 设备费的剩余款项于本项目投产后，发包方按18个月等额（不计息）的方式进行支付。</w:t>
      </w:r>
    </w:p>
    <w:p w14:paraId="4A9F9F16">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 建安费</w:t>
      </w:r>
    </w:p>
    <w:p w14:paraId="5860C01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7.1.4.1 双方合同正式签订并生效后20天内，发包方支付建安费的10%作为预付款（现汇）。</w:t>
      </w:r>
    </w:p>
    <w:p w14:paraId="7FD9DD5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7.1.4.2 施工单位进厂开始进行设备基础施工（以取得监理签发的开工令日期为准）后20天内，发包方支付建安费的15%作为进度款。</w:t>
      </w:r>
    </w:p>
    <w:p w14:paraId="59C495C2">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7.1.4.3 设备基础施工完成后20天内，发包方支付建安费的25%作为进度款。</w:t>
      </w:r>
    </w:p>
    <w:p w14:paraId="517441F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7.1.4.4 设备安装完成后20天内，发包方支付建安费的10%作为进度款。</w:t>
      </w:r>
    </w:p>
    <w:p w14:paraId="1E69FA1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7.1.4.5 双方约定，由发包方组织、承包方配合，在本项目投产后的12个月内完成竣工验收及结算手续。自本项目投产后，发包方应根据建安费的剩余款项按18个月等额的方式（不计息）进行支付。</w:t>
      </w:r>
      <w:r>
        <w:rPr>
          <w:rFonts w:ascii="Times New Roman" w:hAnsi="Times New Roman" w:eastAsia="宋体" w:cs="Times New Roman"/>
          <w:sz w:val="21"/>
          <w:szCs w:val="21"/>
        </w:rPr>
        <w:t xml:space="preserve"> </w:t>
      </w:r>
    </w:p>
    <w:p w14:paraId="77DF9FD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7.2 支付方式</w:t>
      </w:r>
    </w:p>
    <w:p w14:paraId="3903607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7.2.1 本合同的预付款采用现汇方式支付，剩余款项按现汇和六个月期内的银行承兑汇票1：1的比例支付。</w:t>
      </w:r>
    </w:p>
    <w:p w14:paraId="234D14F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7.2.2 每笔款项支付前，承包方应向发包方开具对应金额的增值税专用发票（其中预付款发票于第一笔进度款支付时一并提供）。若因承包方发票开具不及时而引发延误付款问题，发包方不承担责任，直至承包方开具出对应金额的增值税专用发票并提交至发包方为止。</w:t>
      </w:r>
    </w:p>
    <w:p w14:paraId="64A1E8F6">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7.2.3 每笔付款不应超过承包方提供所有合格且经发包方认可（若承包方提供资料后10日内未收到任何书面质询或修改意见，则视为发包方认可）的资料后20日内。</w:t>
      </w:r>
    </w:p>
    <w:p w14:paraId="1A67DE66">
      <w:pPr>
        <w:pStyle w:val="2"/>
        <w:adjustRightInd w:val="0"/>
        <w:snapToGrid w:val="0"/>
        <w:spacing w:before="156" w:beforeLines="50" w:after="0" w:line="348" w:lineRule="auto"/>
        <w:rPr>
          <w:rFonts w:ascii="Times New Roman" w:hAnsi="Times New Roman" w:cs="Times New Roman"/>
          <w:sz w:val="21"/>
          <w:szCs w:val="21"/>
        </w:rPr>
      </w:pPr>
      <w:bookmarkStart w:id="419" w:name="_Toc182261741"/>
      <w:r>
        <w:rPr>
          <w:rFonts w:hint="eastAsia" w:ascii="Times New Roman" w:hAnsi="Times New Roman" w:cs="Times New Roman"/>
          <w:sz w:val="21"/>
          <w:szCs w:val="21"/>
        </w:rPr>
        <w:t>第八条 双方责任</w:t>
      </w:r>
      <w:bookmarkEnd w:id="419"/>
    </w:p>
    <w:p w14:paraId="6646422C">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8.1 发包方责任</w:t>
      </w:r>
    </w:p>
    <w:p w14:paraId="5E9F00DE">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8.1.1 发包方应当在规定时间内向承包方提供基础资料及文件，并对其完整性、可靠性及时限性负责。明细资料清单详见技术附件及相关纪要。</w:t>
      </w:r>
    </w:p>
    <w:p w14:paraId="1EB8D49E">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8.1.2 发包方应按本合同第七条约定时限内向承包方支付相应款项。</w:t>
      </w:r>
    </w:p>
    <w:p w14:paraId="4D84E28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8.1.3 发包方应为承包方为履行本合同项目职责派驻现场的人员提供必要的工作、生活及交通方面的便利条件和保障，相关费用双方另行协商确定。</w:t>
      </w:r>
    </w:p>
    <w:p w14:paraId="1F72590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8.1.4 发包方负责向承包方提供施工现场所需水、电、施工用地，相关费用双方另行协商确定。</w:t>
      </w:r>
    </w:p>
    <w:p w14:paraId="53191BB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 承包方责任</w:t>
      </w:r>
    </w:p>
    <w:p w14:paraId="0273081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8.2.1 承担本合同项目的设计及技术总负责工作，承担设备采购（含引进）及施工建安的过程管理服务，包括合同范围内的设备技术规格书及技术协议的起草及审核，主要设备及关键材料的监制、技术性能把关，设备催交及管理，设备的到货验收，现场安装技术指导，同时负责根据总工期编制施工组织计划，经发包方确认后有序组织施工实施，并对建筑施工质量、进度、施工现场环境保护、安全管理负责。</w:t>
      </w:r>
    </w:p>
    <w:p w14:paraId="09E5046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8.2.2 负责项目设备管理及设备单体试车和无负荷联动试车，同时协助发包方进行热负荷试车工作。</w:t>
      </w:r>
    </w:p>
    <w:p w14:paraId="3A7CED8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8.2.3 负责竣工验收资料的整理，按国家规定的竣工验收条件，配合发包方做好竣工验收工作。</w:t>
      </w:r>
    </w:p>
    <w:p w14:paraId="425D8DB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8.2.4 承包方工程总承包项目经理的责任</w:t>
      </w:r>
    </w:p>
    <w:p w14:paraId="020C8E4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承包方对工程总承包项目经理的授权范围：严格按现行国家设计规范、施工规范及验收规范组织设计、采购和施工，保证工程质量、进度和安全；及时向发包方、监理方报告现场情况（最终以承包方书面授权范围为准）。</w:t>
      </w:r>
    </w:p>
    <w:p w14:paraId="36BAAF1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2）项目经理每月在现场的时间要求：每月不少于22天，由监理方负责对项目经理的考勤。</w:t>
      </w:r>
    </w:p>
    <w:p w14:paraId="5AEAF02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3）工程总承包项目经理不得同时担任其他工程项目的项目负责人。项目经理突发丧失履职能力的，承包方应当在</w:t>
      </w:r>
      <w:r>
        <w:rPr>
          <w:rFonts w:ascii="Times New Roman" w:hAnsi="Times New Roman" w:eastAsia="宋体" w:cs="Times New Roman"/>
          <w:sz w:val="21"/>
          <w:szCs w:val="21"/>
        </w:rPr>
        <w:t>48</w:t>
      </w:r>
      <w:r>
        <w:rPr>
          <w:rFonts w:hint="eastAsia" w:ascii="Times New Roman" w:hAnsi="Times New Roman" w:eastAsia="宋体" w:cs="Times New Roman"/>
          <w:sz w:val="21"/>
          <w:szCs w:val="21"/>
        </w:rPr>
        <w:t>小时内委派一位具有相应资格能力的人员担任临时项目经理、履行项目经理职责，并以书面形式通知发包方。</w:t>
      </w:r>
    </w:p>
    <w:p w14:paraId="59ADA437">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8.2.5 承包方负责妥善落实《国务院办公厅关于全面治理拖欠农民工工资问题的意见》（国办发（2016）1号），切实保障建筑工人劳动报酬权益。</w:t>
      </w:r>
    </w:p>
    <w:p w14:paraId="4346C2B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8.2.6 遵守国家法律、法规和发包方的各项管理规定。</w:t>
      </w:r>
    </w:p>
    <w:p w14:paraId="114ACE0A">
      <w:pPr>
        <w:pStyle w:val="2"/>
        <w:adjustRightInd w:val="0"/>
        <w:snapToGrid w:val="0"/>
        <w:spacing w:before="156" w:beforeLines="50" w:after="0" w:line="348" w:lineRule="auto"/>
        <w:rPr>
          <w:rFonts w:ascii="Times New Roman" w:hAnsi="Times New Roman" w:cs="Times New Roman"/>
          <w:sz w:val="21"/>
          <w:szCs w:val="21"/>
        </w:rPr>
      </w:pPr>
      <w:bookmarkStart w:id="420" w:name="_Toc182261742"/>
      <w:r>
        <w:rPr>
          <w:rFonts w:hint="eastAsia" w:ascii="Times New Roman" w:hAnsi="Times New Roman" w:cs="Times New Roman"/>
          <w:sz w:val="21"/>
          <w:szCs w:val="21"/>
        </w:rPr>
        <w:t>第九条 质量保证</w:t>
      </w:r>
      <w:bookmarkEnd w:id="420"/>
    </w:p>
    <w:p w14:paraId="686F540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9.1 本项目的缺陷责任期为项目投产之日起12个月。</w:t>
      </w:r>
    </w:p>
    <w:p w14:paraId="07441AE9">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9.2 承包方应保证交付的技术资料清晰、完整和准确，选用的设备、安装材料等应注明规格、型号、性能等技术指标，其质量要求必须符合国家规定标准，并能满足、达到技术附件的约定。</w:t>
      </w:r>
    </w:p>
    <w:p w14:paraId="096E156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9.3 缺陷责任期内，如出现设计、建筑、设备、安装、调试等质量问题（生产中的正常消耗和易损易耗件除外），承包方应于12小时内积极响应，并于48小时内派人至现场解决。经认定后如属承包方责任，承包方应及时免费修理、排除故障，此情况下缺陷责任期作相应顺延；如属发包方责任，承包方有义务提供指导，并尽快协助修复、更换或补供，其费用由发包方承担，此情况下缺陷责任期不顺延。</w:t>
      </w:r>
    </w:p>
    <w:p w14:paraId="53CC90F3">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9.4 缺陷责任期内，因承包方原因造成工程的缺陷或损坏，且承包方拒绝修复或未能在合理期限内修复，发包方有权自行修复或委托第三方修复，相关费用由承包方承担。</w:t>
      </w:r>
    </w:p>
    <w:p w14:paraId="751142C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9.5 承包方应于缺陷责任期届满后7天内向发包方发出缺陷责任期届满通知，发包方应在收到缺陷责任期届满通知后7天内核实承包方是否履行缺陷修复义务，承包方未能履行缺陷修复义务的，发包方有权扣除相应金额的维修费用。发包方应在收到缺陷责任期届满通知后14天内，向承包方颁发缺陷责任期终止证书。</w:t>
      </w:r>
    </w:p>
    <w:p w14:paraId="04839DB5">
      <w:pPr>
        <w:pStyle w:val="2"/>
        <w:adjustRightInd w:val="0"/>
        <w:snapToGrid w:val="0"/>
        <w:spacing w:before="156" w:beforeLines="50" w:after="0" w:line="348" w:lineRule="auto"/>
        <w:rPr>
          <w:rFonts w:ascii="Times New Roman" w:hAnsi="Times New Roman" w:cs="Times New Roman"/>
          <w:sz w:val="21"/>
          <w:szCs w:val="21"/>
        </w:rPr>
      </w:pPr>
      <w:bookmarkStart w:id="421" w:name="_Toc182261743"/>
      <w:r>
        <w:rPr>
          <w:rFonts w:hint="eastAsia" w:ascii="Times New Roman" w:hAnsi="Times New Roman" w:cs="Times New Roman"/>
          <w:sz w:val="21"/>
          <w:szCs w:val="21"/>
        </w:rPr>
        <w:t>第十条 违约责任</w:t>
      </w:r>
      <w:bookmarkEnd w:id="421"/>
    </w:p>
    <w:p w14:paraId="3B27590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10.1 由于发包方未能按合同约定及时向承包方支付相应款项而对工期造成影响的，应由发包方负责，并双方协商顺延工期。</w:t>
      </w:r>
    </w:p>
    <w:p w14:paraId="07048C2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10.2 因承包方原因未按合同约定的条件和时间完成相关管理工作，根据设备交付进度延误或施工进度延误的类别，每延误一天，应按设备费或建安费的千分之二向发包方支付逾期违约金，累计违约上限不超过对应费用的3%。</w:t>
      </w:r>
    </w:p>
    <w:p w14:paraId="2C4BFDC3">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10.3 在设备验收及质保期内，设备存在质量问题或达不到技术附件约定的性能要求，承包方应自负费用予以维修，若经返修后仍不合格，发包方有权委托第三方进行维修，维修费用及由此造成发包方的直接损失由承包方承担。但由于发包方原因造成的设备损坏或遗失，由发包方负责自费处理，承包方应当协助解决。</w:t>
      </w:r>
    </w:p>
    <w:p w14:paraId="69C4B16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10.4 在合同履行期间，发包方要求终止或解除合同的，发包方应按照承包方实际完成的工作量按比例支付相关费用。</w:t>
      </w:r>
    </w:p>
    <w:p w14:paraId="06F8DDA2">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10.5 承包方在本总承包合同及其相关合同文件下承担的违约责任最高不超过合同总和的10%。</w:t>
      </w:r>
    </w:p>
    <w:p w14:paraId="437E78E2">
      <w:pPr>
        <w:pStyle w:val="2"/>
        <w:adjustRightInd w:val="0"/>
        <w:snapToGrid w:val="0"/>
        <w:spacing w:before="156" w:beforeLines="50" w:after="0" w:line="348" w:lineRule="auto"/>
        <w:rPr>
          <w:rFonts w:ascii="Times New Roman" w:hAnsi="Times New Roman" w:cs="Times New Roman"/>
          <w:sz w:val="21"/>
          <w:szCs w:val="21"/>
        </w:rPr>
      </w:pPr>
      <w:bookmarkStart w:id="422" w:name="_Toc182261744"/>
      <w:r>
        <w:rPr>
          <w:rFonts w:hint="eastAsia" w:ascii="Times New Roman" w:hAnsi="Times New Roman" w:cs="Times New Roman"/>
          <w:sz w:val="21"/>
          <w:szCs w:val="21"/>
        </w:rPr>
        <w:t>第十一条 知识产权和保密</w:t>
      </w:r>
      <w:bookmarkEnd w:id="422"/>
    </w:p>
    <w:p w14:paraId="1E2F3A87">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11.1 发包方提供给承包方的图纸、发包方为实施工程自行编制或委托第三方编制的技术规格书以及其他类似性质文件的著作权归发包方所有，承包方可以为实现本合同项目目的而复制、使用此类文件，但不能用于与本合同项目无关的其他事项。未经发包方书面许可，承包方不得为了本合同项目以外的目的而复制、使用上述文件或将之提供给任何第三方。</w:t>
      </w:r>
    </w:p>
    <w:p w14:paraId="383D86C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11.2 在本合同履行过程中所形成的知识产权成果，所有权归承包方所有，发包方拥有自主使用权。</w:t>
      </w:r>
    </w:p>
    <w:p w14:paraId="4BF492A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11.3 如承包方向发包方交付的设备、相关备品备件及技术资料中存在与第三方的知识产权纠纷时，由设备或材料供应商按分包合同中列明的相关条款向发包方负责。</w:t>
      </w:r>
    </w:p>
    <w:p w14:paraId="4EC5A16C">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11.4 双方均应保护对方的知识产权，任何一方未经对方的书面许可，均不得对对方的资料及文件擅自进行修改、复制、向第三方转让或用于本合同项目以外的项目。如发生上述情况，责任方须承担一切由此引发的后果并承担赔偿责任。</w:t>
      </w:r>
    </w:p>
    <w:p w14:paraId="0E70E17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11.5 为保护双方知识产权，同时符合中华人民共和国有关法律、法规的规定，必要时双方可协商一致，另行签订保密协议。</w:t>
      </w:r>
    </w:p>
    <w:p w14:paraId="70C09C76">
      <w:pPr>
        <w:pStyle w:val="2"/>
        <w:adjustRightInd w:val="0"/>
        <w:snapToGrid w:val="0"/>
        <w:spacing w:before="156" w:beforeLines="50" w:after="0" w:line="348" w:lineRule="auto"/>
        <w:rPr>
          <w:rFonts w:ascii="Times New Roman" w:hAnsi="Times New Roman" w:cs="Times New Roman"/>
          <w:sz w:val="21"/>
          <w:szCs w:val="21"/>
        </w:rPr>
      </w:pPr>
      <w:bookmarkStart w:id="423" w:name="_Toc182261745"/>
      <w:r>
        <w:rPr>
          <w:rFonts w:hint="eastAsia" w:ascii="Times New Roman" w:hAnsi="Times New Roman" w:cs="Times New Roman"/>
          <w:sz w:val="21"/>
          <w:szCs w:val="21"/>
        </w:rPr>
        <w:t>第十二条 争议解决</w:t>
      </w:r>
      <w:bookmarkEnd w:id="423"/>
    </w:p>
    <w:p w14:paraId="66B3F1F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12.1 在本合同项目的执行过程中，针对双方发生的任何争议，首先应采用友好协商的方式解决。若协商不成功，双方同意向盐城市大丰区人民法院提出诉讼。</w:t>
      </w:r>
    </w:p>
    <w:p w14:paraId="74A672C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12.2 争议解决期间，发包方和承包方应继续履行本合同项目除争议内容外的其他部分。</w:t>
      </w:r>
    </w:p>
    <w:p w14:paraId="04618E39">
      <w:pPr>
        <w:pStyle w:val="2"/>
        <w:adjustRightInd w:val="0"/>
        <w:snapToGrid w:val="0"/>
        <w:spacing w:before="156" w:beforeLines="50" w:after="0" w:line="348" w:lineRule="auto"/>
        <w:rPr>
          <w:rFonts w:ascii="Times New Roman" w:hAnsi="Times New Roman" w:cs="Times New Roman"/>
          <w:sz w:val="21"/>
          <w:szCs w:val="21"/>
        </w:rPr>
      </w:pPr>
      <w:bookmarkStart w:id="424" w:name="_Toc182261746"/>
      <w:r>
        <w:rPr>
          <w:rFonts w:hint="eastAsia" w:ascii="Times New Roman" w:hAnsi="Times New Roman" w:cs="Times New Roman"/>
          <w:sz w:val="21"/>
          <w:szCs w:val="21"/>
        </w:rPr>
        <w:t>第十三条 不可抗力</w:t>
      </w:r>
      <w:bookmarkEnd w:id="424"/>
    </w:p>
    <w:p w14:paraId="6C597E36">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13.1 除发包方向承包方的付款义务外，任何一方对其可以合理控制之外的任何情况或因素所导致的延误不承担责任，包括但不限于火灾、疫症或其他意外事故、自然灾害、战争、暴乱，或任何法律、法规及政府机构和有权部门的要求等。</w:t>
      </w:r>
    </w:p>
    <w:p w14:paraId="4B8988D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13.2 任何一方无权在不可抗力条件下向未履约的一方提出索赔和补偿，不可抗力引起的后果及造成的损失由双方各自承担。不可抗力事件的影响持续超过120天的，任何一方均可解除合同。</w:t>
      </w:r>
    </w:p>
    <w:p w14:paraId="64986A91">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13.3 如果不可抗力事件不足以导致本合同项目无法履行的，双方应根据该事件对履行的影响程度确定延期履行或部分免除责任。</w:t>
      </w:r>
    </w:p>
    <w:p w14:paraId="75E4C6D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13.4 因合同一方迟延履行合同义务，在迟延履行期间遭遇不可抗力的，不免除其违约责任。</w:t>
      </w:r>
    </w:p>
    <w:p w14:paraId="2216BEA7">
      <w:pPr>
        <w:pStyle w:val="2"/>
        <w:adjustRightInd w:val="0"/>
        <w:snapToGrid w:val="0"/>
        <w:spacing w:before="156" w:beforeLines="50" w:after="0" w:line="348" w:lineRule="auto"/>
        <w:rPr>
          <w:rFonts w:ascii="Times New Roman" w:hAnsi="Times New Roman" w:cs="Times New Roman"/>
          <w:sz w:val="21"/>
          <w:szCs w:val="21"/>
        </w:rPr>
      </w:pPr>
      <w:bookmarkStart w:id="425" w:name="_Toc182261747"/>
      <w:r>
        <w:rPr>
          <w:rFonts w:hint="eastAsia" w:ascii="Times New Roman" w:hAnsi="Times New Roman" w:cs="Times New Roman"/>
          <w:sz w:val="21"/>
          <w:szCs w:val="21"/>
        </w:rPr>
        <w:t>第十四条 合同解除</w:t>
      </w:r>
      <w:bookmarkEnd w:id="425"/>
    </w:p>
    <w:p w14:paraId="7FDAF5E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14.1 发生下列情形之一的，发包方有权向承包方发出解除合同的通知，合同在通知到达承包方后解除：</w:t>
      </w:r>
    </w:p>
    <w:p w14:paraId="4203C4A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14.1.1 承包方不实质性履行本合同约定的义务，且经发包方催告后仍拒绝履行的；</w:t>
      </w:r>
    </w:p>
    <w:p w14:paraId="6649971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14.1.2 承包方未按合同义务及时向设备供应商或建安分包单位付款超过90天以上，且经发包方催告后仍不支付的；</w:t>
      </w:r>
    </w:p>
    <w:p w14:paraId="6CE77CB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14.1.3 承包方进入破产程序。</w:t>
      </w:r>
    </w:p>
    <w:p w14:paraId="6A5BF3ED">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14.2 发生下列情形之一的，承包方有权向发包方发出解除合同的通知，合同在通知到达发包方后解除：</w:t>
      </w:r>
    </w:p>
    <w:p w14:paraId="6A1BE49A">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14.2.1 发包方不实质性履行本合同约定的义务，且经承包方催告后仍拒绝履行的；</w:t>
      </w:r>
    </w:p>
    <w:p w14:paraId="59ED205B">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14.2.2 发包方未按合同义务及时向承包方付款超过90天以上，且经承包方催告后仍不支付的；</w:t>
      </w:r>
    </w:p>
    <w:p w14:paraId="3326C1D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14.2.3 发包方进入破产程序。</w:t>
      </w:r>
    </w:p>
    <w:p w14:paraId="3ADF7E94">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14.3 合同解除时，双方应对本合同进行结算，同时违约方应赔偿另一方因合同解除而受到的可证明的直接损失。合同的解除不影响当事人要求赔偿损失的权利。</w:t>
      </w:r>
    </w:p>
    <w:p w14:paraId="757F59D5">
      <w:pPr>
        <w:pStyle w:val="2"/>
        <w:adjustRightInd w:val="0"/>
        <w:snapToGrid w:val="0"/>
        <w:spacing w:before="156" w:beforeLines="50" w:after="0" w:line="348" w:lineRule="auto"/>
        <w:rPr>
          <w:rFonts w:ascii="Times New Roman" w:hAnsi="Times New Roman" w:cs="Times New Roman"/>
          <w:sz w:val="21"/>
          <w:szCs w:val="21"/>
        </w:rPr>
      </w:pPr>
      <w:bookmarkStart w:id="426" w:name="_Toc182261748"/>
      <w:r>
        <w:rPr>
          <w:rFonts w:hint="eastAsia" w:ascii="Times New Roman" w:hAnsi="Times New Roman" w:cs="Times New Roman"/>
          <w:sz w:val="21"/>
          <w:szCs w:val="21"/>
        </w:rPr>
        <w:t>第十五条 合同生效、终止和其他</w:t>
      </w:r>
      <w:bookmarkEnd w:id="426"/>
    </w:p>
    <w:p w14:paraId="3C40C578">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15.1 本合同自双方法定代表人或授权委托人签字并加盖公章后生效。</w:t>
      </w:r>
    </w:p>
    <w:p w14:paraId="7520894F">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15.2 自双方承担或行使的责任、义务和权利履行完毕之日起，本合同自动失效。</w:t>
      </w:r>
    </w:p>
    <w:p w14:paraId="09A0AD0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15.3 其他合同附件：履行合同过程中双方书面确认的对合同内容有实质性影响的往来传真、电报、会议纪要、签证、设计变更等，均为本合同不可分割的一部分，与本合同具有同等法律效力。</w:t>
      </w:r>
    </w:p>
    <w:p w14:paraId="2B454050">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15.4 任何一方在未能取得另一方事先书面同意之前，不得将本合同项目下的任何权利或义务转让给第三方。</w:t>
      </w:r>
    </w:p>
    <w:p w14:paraId="3FFEA733">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15.5 在合同有效期内，双方对本合同及其附件内容须妥为保密，除为履行本合同项目的目的以外，不得泄露给第三方。</w:t>
      </w:r>
    </w:p>
    <w:p w14:paraId="1D48AB53">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15.6 本合同一式</w:t>
      </w:r>
      <w:r>
        <w:rPr>
          <w:rFonts w:hint="eastAsia" w:ascii="Times New Roman" w:hAnsi="Times New Roman" w:eastAsia="宋体" w:cs="Times New Roman"/>
          <w:sz w:val="21"/>
          <w:szCs w:val="21"/>
          <w:u w:val="single"/>
        </w:rPr>
        <w:t>捌</w:t>
      </w:r>
      <w:r>
        <w:rPr>
          <w:rFonts w:hint="eastAsia" w:ascii="Times New Roman" w:hAnsi="Times New Roman" w:eastAsia="宋体" w:cs="Times New Roman"/>
          <w:sz w:val="21"/>
          <w:szCs w:val="21"/>
        </w:rPr>
        <w:t>份，双方各执</w:t>
      </w:r>
      <w:r>
        <w:rPr>
          <w:rFonts w:hint="eastAsia" w:ascii="Times New Roman" w:hAnsi="Times New Roman" w:eastAsia="宋体" w:cs="Times New Roman"/>
          <w:sz w:val="21"/>
          <w:szCs w:val="21"/>
          <w:u w:val="single"/>
        </w:rPr>
        <w:t>肆</w:t>
      </w:r>
      <w:r>
        <w:rPr>
          <w:rFonts w:hint="eastAsia" w:ascii="Times New Roman" w:hAnsi="Times New Roman" w:eastAsia="宋体" w:cs="Times New Roman"/>
          <w:sz w:val="21"/>
          <w:szCs w:val="21"/>
        </w:rPr>
        <w:t>份，其中正本</w:t>
      </w:r>
      <w:r>
        <w:rPr>
          <w:rFonts w:hint="eastAsia" w:ascii="Times New Roman" w:hAnsi="Times New Roman" w:eastAsia="宋体" w:cs="Times New Roman"/>
          <w:sz w:val="21"/>
          <w:szCs w:val="21"/>
          <w:u w:val="single"/>
        </w:rPr>
        <w:t>壹</w:t>
      </w:r>
      <w:r>
        <w:rPr>
          <w:rFonts w:hint="eastAsia" w:ascii="Times New Roman" w:hAnsi="Times New Roman" w:eastAsia="宋体" w:cs="Times New Roman"/>
          <w:sz w:val="21"/>
          <w:szCs w:val="21"/>
        </w:rPr>
        <w:t>份，副本</w:t>
      </w:r>
      <w:r>
        <w:rPr>
          <w:rFonts w:hint="eastAsia" w:ascii="Times New Roman" w:hAnsi="Times New Roman" w:eastAsia="宋体" w:cs="Times New Roman"/>
          <w:sz w:val="21"/>
          <w:szCs w:val="21"/>
          <w:u w:val="single"/>
        </w:rPr>
        <w:t>叁</w:t>
      </w:r>
      <w:r>
        <w:rPr>
          <w:rFonts w:hint="eastAsia" w:ascii="Times New Roman" w:hAnsi="Times New Roman" w:eastAsia="宋体" w:cs="Times New Roman"/>
          <w:sz w:val="21"/>
          <w:szCs w:val="21"/>
        </w:rPr>
        <w:t>份。正副本具备同等法律效力。</w:t>
      </w:r>
    </w:p>
    <w:p w14:paraId="3AE92BC5">
      <w:pPr>
        <w:adjustRightInd w:val="0"/>
        <w:snapToGrid w:val="0"/>
        <w:spacing w:line="348" w:lineRule="auto"/>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15.7 本合同如有未尽事宜，双方另行商定。</w:t>
      </w:r>
    </w:p>
    <w:p w14:paraId="5FEC6950">
      <w:pPr>
        <w:widowControl/>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（以上无正文）</w:t>
      </w:r>
    </w:p>
    <w:tbl>
      <w:tblPr>
        <w:tblStyle w:val="47"/>
        <w:tblW w:w="90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35"/>
      </w:tblGrid>
      <w:tr w14:paraId="0B7F2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783A3185">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发包方名称：</w:t>
            </w:r>
          </w:p>
          <w:p w14:paraId="2AF076F7">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盐城市联鑫钢铁有限公司</w:t>
            </w:r>
          </w:p>
          <w:p w14:paraId="6CAB8B43">
            <w:pPr>
              <w:keepNext w:val="0"/>
              <w:keepLines w:val="0"/>
              <w:suppressLineNumbers w:val="0"/>
              <w:adjustRightInd w:val="0"/>
              <w:snapToGrid w:val="0"/>
              <w:spacing w:before="0" w:beforeAutospacing="0" w:after="0" w:afterAutospacing="0" w:line="288" w:lineRule="auto"/>
              <w:ind w:left="0" w:right="0"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（盖章）</w:t>
            </w:r>
          </w:p>
        </w:tc>
        <w:tc>
          <w:tcPr>
            <w:tcW w:w="4535" w:type="dxa"/>
          </w:tcPr>
          <w:p w14:paraId="3B2B0F00">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承包方名称：</w:t>
            </w:r>
          </w:p>
          <w:p w14:paraId="5F93881E">
            <w:pPr>
              <w:keepNext w:val="0"/>
              <w:keepLines w:val="0"/>
              <w:suppressLineNumbers w:val="0"/>
              <w:adjustRightInd w:val="0"/>
              <w:snapToGrid w:val="0"/>
              <w:spacing w:before="0" w:beforeAutospacing="0" w:after="0" w:afterAutospacing="0" w:line="288" w:lineRule="auto"/>
              <w:ind w:left="0" w:right="0" w:firstLine="1050" w:firstLineChars="500"/>
              <w:rPr>
                <w:rFonts w:hint="default" w:ascii="Times New Roman" w:hAnsi="Times New Roman" w:eastAsia="宋体" w:cs="Times New Roman"/>
                <w:sz w:val="21"/>
                <w:szCs w:val="21"/>
              </w:rPr>
            </w:pPr>
          </w:p>
          <w:p w14:paraId="0C0A8AE5">
            <w:pPr>
              <w:keepNext w:val="0"/>
              <w:keepLines w:val="0"/>
              <w:suppressLineNumbers w:val="0"/>
              <w:adjustRightInd w:val="0"/>
              <w:snapToGrid w:val="0"/>
              <w:spacing w:before="0" w:beforeAutospacing="0" w:after="0" w:afterAutospacing="0" w:line="288" w:lineRule="auto"/>
              <w:ind w:left="0" w:right="0"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（盖章）</w:t>
            </w:r>
          </w:p>
        </w:tc>
      </w:tr>
      <w:tr w14:paraId="2BC0F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225B427A">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法定代表人或</w:t>
            </w:r>
            <w:r>
              <w:rPr>
                <w:rFonts w:hint="eastAsia" w:ascii="Times New Roman" w:hAnsi="Times New Roman" w:eastAsia="宋体" w:cs="Times New Roman"/>
                <w:sz w:val="21"/>
                <w:szCs w:val="21"/>
              </w:rPr>
              <w:t>其</w:t>
            </w:r>
            <w:r>
              <w:rPr>
                <w:rFonts w:hint="default" w:ascii="Times New Roman" w:hAnsi="Times New Roman" w:eastAsia="宋体" w:cs="Times New Roman"/>
                <w:sz w:val="21"/>
                <w:szCs w:val="21"/>
              </w:rPr>
              <w:t>授权委托人：</w:t>
            </w:r>
          </w:p>
          <w:p w14:paraId="28204CFD">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p>
          <w:p w14:paraId="28517BEA">
            <w:pPr>
              <w:keepNext w:val="0"/>
              <w:keepLines w:val="0"/>
              <w:suppressLineNumbers w:val="0"/>
              <w:adjustRightInd w:val="0"/>
              <w:snapToGrid w:val="0"/>
              <w:spacing w:before="0" w:beforeAutospacing="0" w:after="0" w:afterAutospacing="0" w:line="288" w:lineRule="auto"/>
              <w:ind w:left="0" w:right="0"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（签字）</w:t>
            </w:r>
          </w:p>
        </w:tc>
        <w:tc>
          <w:tcPr>
            <w:tcW w:w="4535" w:type="dxa"/>
          </w:tcPr>
          <w:p w14:paraId="477672EB">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法定代表人或</w:t>
            </w:r>
            <w:r>
              <w:rPr>
                <w:rFonts w:hint="eastAsia" w:ascii="Times New Roman" w:hAnsi="Times New Roman" w:eastAsia="宋体" w:cs="Times New Roman"/>
                <w:sz w:val="21"/>
                <w:szCs w:val="21"/>
              </w:rPr>
              <w:t>其</w:t>
            </w:r>
            <w:r>
              <w:rPr>
                <w:rFonts w:hint="default" w:ascii="Times New Roman" w:hAnsi="Times New Roman" w:eastAsia="宋体" w:cs="Times New Roman"/>
                <w:sz w:val="21"/>
                <w:szCs w:val="21"/>
              </w:rPr>
              <w:t>授权委托人：</w:t>
            </w:r>
          </w:p>
          <w:p w14:paraId="26236ABA">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p>
          <w:p w14:paraId="590B90DB">
            <w:pPr>
              <w:keepNext w:val="0"/>
              <w:keepLines w:val="0"/>
              <w:suppressLineNumbers w:val="0"/>
              <w:adjustRightInd w:val="0"/>
              <w:snapToGrid w:val="0"/>
              <w:spacing w:before="0" w:beforeAutospacing="0" w:after="0" w:afterAutospacing="0" w:line="288" w:lineRule="auto"/>
              <w:ind w:left="0" w:right="0" w:firstLine="1050" w:firstLineChars="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（签字）</w:t>
            </w:r>
          </w:p>
        </w:tc>
      </w:tr>
      <w:tr w14:paraId="61EE4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61C8B119">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统一社会信用代码：</w:t>
            </w:r>
          </w:p>
          <w:p w14:paraId="256AEA60">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p>
        </w:tc>
        <w:tc>
          <w:tcPr>
            <w:tcW w:w="4535" w:type="dxa"/>
          </w:tcPr>
          <w:p w14:paraId="5EF960D1">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统一社会信用代码：</w:t>
            </w:r>
          </w:p>
          <w:p w14:paraId="11AE2C82">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p>
        </w:tc>
      </w:tr>
      <w:tr w14:paraId="3A84B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0CA36221">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地址：盐城市大丰区大丰港经济区临港工业区</w:t>
            </w:r>
          </w:p>
        </w:tc>
        <w:tc>
          <w:tcPr>
            <w:tcW w:w="4535" w:type="dxa"/>
          </w:tcPr>
          <w:p w14:paraId="72F84BE6">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地址： </w:t>
            </w:r>
          </w:p>
        </w:tc>
      </w:tr>
      <w:tr w14:paraId="7D1B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58BDC797">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邮编：224100</w:t>
            </w:r>
          </w:p>
        </w:tc>
        <w:tc>
          <w:tcPr>
            <w:tcW w:w="4535" w:type="dxa"/>
          </w:tcPr>
          <w:p w14:paraId="039EC5EC">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邮编：</w:t>
            </w:r>
          </w:p>
        </w:tc>
      </w:tr>
      <w:tr w14:paraId="7D34A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100AE629">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c>
          <w:tcPr>
            <w:tcW w:w="4535" w:type="dxa"/>
          </w:tcPr>
          <w:p w14:paraId="0D2C7296">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14:paraId="5A8D3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67FB7CA4">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开户银行：</w:t>
            </w:r>
          </w:p>
        </w:tc>
        <w:tc>
          <w:tcPr>
            <w:tcW w:w="4535" w:type="dxa"/>
          </w:tcPr>
          <w:p w14:paraId="35E98482">
            <w:pPr>
              <w:keepNext w:val="0"/>
              <w:keepLines w:val="0"/>
              <w:suppressLineNumbers w:val="0"/>
              <w:adjustRightInd w:val="0"/>
              <w:snapToGrid w:val="0"/>
              <w:spacing w:before="0" w:beforeAutospacing="0" w:after="0" w:afterAutospacing="0" w:line="288" w:lineRule="auto"/>
              <w:ind w:left="0" w:right="0"/>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开户银行：</w:t>
            </w:r>
          </w:p>
        </w:tc>
      </w:tr>
      <w:tr w14:paraId="53A6F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5" w:type="dxa"/>
          </w:tcPr>
          <w:p w14:paraId="775318B3">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账号：</w:t>
            </w:r>
          </w:p>
        </w:tc>
        <w:tc>
          <w:tcPr>
            <w:tcW w:w="4535" w:type="dxa"/>
          </w:tcPr>
          <w:p w14:paraId="49E790B3">
            <w:pPr>
              <w:keepNext w:val="0"/>
              <w:keepLines w:val="0"/>
              <w:suppressLineNumbers w:val="0"/>
              <w:adjustRightInd w:val="0"/>
              <w:snapToGrid w:val="0"/>
              <w:spacing w:before="0" w:beforeAutospacing="0" w:after="0" w:afterAutospacing="0" w:line="288" w:lineRule="auto"/>
              <w:ind w:left="0" w:right="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账号：</w:t>
            </w:r>
          </w:p>
        </w:tc>
      </w:tr>
    </w:tbl>
    <w:p w14:paraId="1C721B8E">
      <w:pPr>
        <w:adjustRightInd w:val="0"/>
        <w:snapToGrid w:val="0"/>
        <w:spacing w:line="348" w:lineRule="auto"/>
        <w:rPr>
          <w:rFonts w:ascii="Times New Roman" w:hAnsi="Times New Roman" w:eastAsia="宋体" w:cs="Times New Roman"/>
          <w:sz w:val="21"/>
          <w:szCs w:val="21"/>
        </w:rPr>
      </w:pPr>
    </w:p>
    <w:p w14:paraId="0672CAAF">
      <w:pPr>
        <w:pStyle w:val="2"/>
        <w:spacing w:line="360" w:lineRule="auto"/>
        <w:jc w:val="center"/>
        <w:rPr>
          <w:rFonts w:hint="eastAsia"/>
          <w:sz w:val="21"/>
          <w:szCs w:val="21"/>
        </w:rPr>
      </w:pPr>
    </w:p>
    <w:p w14:paraId="3C06F740">
      <w:pPr>
        <w:rPr>
          <w:rFonts w:hint="eastAsia"/>
        </w:rPr>
      </w:pPr>
    </w:p>
    <w:p w14:paraId="5439F1C7">
      <w:pPr>
        <w:pStyle w:val="2"/>
        <w:spacing w:line="360" w:lineRule="auto"/>
        <w:jc w:val="center"/>
      </w:pPr>
      <w:r>
        <w:rPr>
          <w:rFonts w:hint="eastAsia"/>
        </w:rPr>
        <w:t>第</w:t>
      </w:r>
      <w:r>
        <w:rPr>
          <w:rFonts w:hint="eastAsia"/>
          <w:lang w:eastAsia="zh-CN"/>
        </w:rPr>
        <w:t>七</w:t>
      </w:r>
      <w:r>
        <w:rPr>
          <w:rFonts w:hint="eastAsia"/>
        </w:rPr>
        <w:t>章  投标文件格式</w:t>
      </w:r>
      <w:bookmarkEnd w:id="405"/>
      <w:bookmarkEnd w:id="406"/>
      <w:bookmarkEnd w:id="407"/>
      <w:bookmarkEnd w:id="408"/>
      <w:bookmarkEnd w:id="409"/>
      <w:bookmarkEnd w:id="410"/>
      <w:bookmarkEnd w:id="411"/>
    </w:p>
    <w:p w14:paraId="11509A1E"/>
    <w:p w14:paraId="1B88C0B2">
      <w:r>
        <w:br w:type="page"/>
      </w:r>
    </w:p>
    <w:p w14:paraId="648D0983">
      <w:pPr>
        <w:rPr>
          <w:rFonts w:eastAsia="黑体"/>
          <w:sz w:val="20"/>
          <w:szCs w:val="20"/>
        </w:rPr>
      </w:pPr>
    </w:p>
    <w:p w14:paraId="24A715EE">
      <w:pPr>
        <w:rPr>
          <w:rFonts w:eastAsia="黑体"/>
          <w:sz w:val="20"/>
          <w:szCs w:val="20"/>
        </w:rPr>
      </w:pPr>
    </w:p>
    <w:p w14:paraId="124A4BBA">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r>
        <w:rPr>
          <w:rFonts w:hint="eastAsia" w:eastAsia="黑体"/>
          <w:sz w:val="28"/>
          <w:szCs w:val="28"/>
        </w:rPr>
        <w:t>工程（EPC）总承包</w:t>
      </w:r>
      <w:r>
        <w:rPr>
          <w:rFonts w:eastAsia="黑体"/>
          <w:sz w:val="28"/>
          <w:szCs w:val="28"/>
        </w:rPr>
        <w:t>招标</w:t>
      </w:r>
    </w:p>
    <w:p w14:paraId="44F94085">
      <w:pPr>
        <w:rPr>
          <w:rFonts w:eastAsia="黑体"/>
          <w:sz w:val="20"/>
          <w:szCs w:val="20"/>
        </w:rPr>
      </w:pPr>
    </w:p>
    <w:p w14:paraId="473A8379">
      <w:pPr>
        <w:rPr>
          <w:rFonts w:eastAsia="黑体"/>
          <w:sz w:val="20"/>
          <w:szCs w:val="20"/>
        </w:rPr>
      </w:pPr>
    </w:p>
    <w:p w14:paraId="6C2DE4C2">
      <w:pPr>
        <w:jc w:val="center"/>
        <w:rPr>
          <w:rFonts w:eastAsia="黑体"/>
          <w:sz w:val="44"/>
          <w:szCs w:val="44"/>
        </w:rPr>
      </w:pPr>
      <w:r>
        <w:rPr>
          <w:rFonts w:eastAsia="黑体"/>
          <w:sz w:val="44"/>
          <w:szCs w:val="44"/>
        </w:rPr>
        <w:t>投  标  文  件</w:t>
      </w:r>
    </w:p>
    <w:p w14:paraId="72A1D62C">
      <w:pPr>
        <w:rPr>
          <w:rFonts w:eastAsia="黑体"/>
          <w:sz w:val="28"/>
          <w:szCs w:val="28"/>
        </w:rPr>
      </w:pPr>
    </w:p>
    <w:p w14:paraId="338ED9ED">
      <w:pPr>
        <w:rPr>
          <w:rFonts w:eastAsia="黑体"/>
          <w:sz w:val="28"/>
          <w:szCs w:val="28"/>
        </w:rPr>
      </w:pPr>
    </w:p>
    <w:p w14:paraId="2CA843F2">
      <w:pPr>
        <w:rPr>
          <w:rFonts w:eastAsia="黑体"/>
          <w:sz w:val="28"/>
          <w:szCs w:val="28"/>
        </w:rPr>
      </w:pPr>
    </w:p>
    <w:p w14:paraId="06D1518B">
      <w:pPr>
        <w:rPr>
          <w:rFonts w:eastAsia="黑体"/>
          <w:sz w:val="28"/>
          <w:szCs w:val="28"/>
        </w:rPr>
      </w:pPr>
    </w:p>
    <w:p w14:paraId="550A96F9">
      <w:pPr>
        <w:rPr>
          <w:rFonts w:eastAsia="黑体"/>
          <w:sz w:val="28"/>
          <w:szCs w:val="28"/>
        </w:rPr>
      </w:pPr>
    </w:p>
    <w:p w14:paraId="1D7AA570">
      <w:pPr>
        <w:rPr>
          <w:rFonts w:eastAsia="黑体"/>
          <w:sz w:val="28"/>
          <w:szCs w:val="28"/>
        </w:rPr>
      </w:pPr>
    </w:p>
    <w:p w14:paraId="67900F93">
      <w:pPr>
        <w:rPr>
          <w:rFonts w:eastAsia="黑体"/>
          <w:sz w:val="28"/>
          <w:szCs w:val="28"/>
        </w:rPr>
      </w:pPr>
    </w:p>
    <w:p w14:paraId="0BDF575E">
      <w:pPr>
        <w:rPr>
          <w:rFonts w:eastAsia="黑体"/>
          <w:sz w:val="28"/>
          <w:szCs w:val="28"/>
        </w:rPr>
      </w:pPr>
    </w:p>
    <w:p w14:paraId="4DB95808">
      <w:pPr>
        <w:rPr>
          <w:rFonts w:eastAsia="黑体"/>
          <w:sz w:val="28"/>
          <w:szCs w:val="28"/>
        </w:rPr>
      </w:pPr>
    </w:p>
    <w:p w14:paraId="47FBF40C">
      <w:pPr>
        <w:rPr>
          <w:rFonts w:eastAsia="黑体"/>
          <w:sz w:val="28"/>
          <w:szCs w:val="28"/>
        </w:rPr>
      </w:pPr>
    </w:p>
    <w:p w14:paraId="16503A92">
      <w:pPr>
        <w:rPr>
          <w:rFonts w:eastAsia="黑体"/>
          <w:sz w:val="28"/>
          <w:szCs w:val="28"/>
        </w:rPr>
      </w:pPr>
    </w:p>
    <w:p w14:paraId="23C37322">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14:paraId="3839D147">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512699BE">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1DCAB3DA">
      <w:pPr>
        <w:pStyle w:val="44"/>
        <w:ind w:firstLine="0"/>
        <w:rPr>
          <w:rFonts w:ascii="黑体" w:hAnsi="黑体" w:eastAsia="黑体"/>
          <w:sz w:val="32"/>
          <w:szCs w:val="44"/>
        </w:rPr>
      </w:pPr>
      <w:bookmarkStart w:id="427" w:name="_Toc247514247"/>
      <w:bookmarkStart w:id="428" w:name="_Toc61968481"/>
      <w:bookmarkStart w:id="429" w:name="_Toc247527828"/>
      <w:bookmarkStart w:id="430" w:name="_Toc144974857"/>
      <w:bookmarkStart w:id="431" w:name="_Toc152045788"/>
      <w:bookmarkStart w:id="432" w:name="_Toc152042577"/>
      <w:bookmarkStart w:id="433" w:name="_Toc98504146"/>
      <w:r>
        <w:br w:type="page"/>
      </w:r>
      <w:bookmarkStart w:id="434" w:name="_Toc115196115"/>
      <w:r>
        <w:rPr>
          <w:rFonts w:ascii="黑体" w:hAnsi="黑体" w:eastAsia="黑体"/>
          <w:sz w:val="32"/>
          <w:szCs w:val="44"/>
        </w:rPr>
        <w:t>一、投标函及投标函附录</w:t>
      </w:r>
      <w:bookmarkEnd w:id="427"/>
      <w:bookmarkEnd w:id="428"/>
      <w:bookmarkEnd w:id="429"/>
      <w:bookmarkEnd w:id="430"/>
      <w:bookmarkEnd w:id="431"/>
      <w:bookmarkEnd w:id="432"/>
      <w:bookmarkEnd w:id="433"/>
      <w:bookmarkEnd w:id="434"/>
    </w:p>
    <w:p w14:paraId="6322E4C7">
      <w:pPr>
        <w:pStyle w:val="4"/>
        <w:spacing w:line="360" w:lineRule="auto"/>
        <w:jc w:val="center"/>
      </w:pPr>
      <w:bookmarkStart w:id="435" w:name="_Toc61968482"/>
      <w:bookmarkStart w:id="436" w:name="_Toc144974858"/>
      <w:bookmarkStart w:id="437" w:name="_Toc247514248"/>
      <w:bookmarkStart w:id="438" w:name="_Toc152042578"/>
      <w:bookmarkStart w:id="439" w:name="_Toc152045789"/>
      <w:bookmarkStart w:id="440" w:name="_Toc247527829"/>
      <w:bookmarkStart w:id="441" w:name="_Toc98504147"/>
      <w:r>
        <w:t>投标函</w:t>
      </w:r>
      <w:bookmarkEnd w:id="435"/>
      <w:bookmarkEnd w:id="436"/>
      <w:bookmarkEnd w:id="437"/>
      <w:bookmarkEnd w:id="438"/>
      <w:bookmarkEnd w:id="439"/>
      <w:bookmarkEnd w:id="440"/>
      <w:bookmarkEnd w:id="441"/>
    </w:p>
    <w:p w14:paraId="7E1A8B7A">
      <w:pPr>
        <w:ind w:firstLine="174" w:firstLineChars="83"/>
        <w:rPr>
          <w:rFonts w:asciiTheme="minorEastAsia" w:hAnsiTheme="minorEastAsia" w:eastAsiaTheme="minorEastAsia"/>
          <w:szCs w:val="21"/>
          <w:u w:val="single"/>
        </w:rPr>
      </w:pPr>
      <w:r>
        <w:rPr>
          <w:rFonts w:hint="eastAsia" w:asciiTheme="minorEastAsia" w:hAnsiTheme="minorEastAsia" w:eastAsiaTheme="minorEastAsia"/>
          <w:szCs w:val="21"/>
        </w:rPr>
        <w:t>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盐城市联鑫钢铁有限公司</w:t>
      </w:r>
    </w:p>
    <w:p w14:paraId="419CAE25">
      <w:pPr>
        <w:ind w:firstLine="420"/>
        <w:rPr>
          <w:rFonts w:asciiTheme="minorEastAsia" w:hAnsiTheme="minorEastAsia" w:eastAsiaTheme="minorEastAsia"/>
          <w:szCs w:val="21"/>
        </w:rPr>
      </w:pPr>
      <w:r>
        <w:rPr>
          <w:rFonts w:asciiTheme="minorEastAsia" w:hAnsiTheme="minorEastAsia" w:eastAsiaTheme="minorEastAsia"/>
          <w:szCs w:val="21"/>
          <w:u w:val="single"/>
        </w:rPr>
        <w:t>(</w:t>
      </w:r>
      <w:r>
        <w:rPr>
          <w:rFonts w:hint="eastAsia" w:asciiTheme="minorEastAsia" w:hAnsiTheme="minorEastAsia" w:eastAsiaTheme="minorEastAsia"/>
          <w:szCs w:val="21"/>
          <w:u w:val="single"/>
        </w:rPr>
        <w:t>投标单位全称</w:t>
      </w:r>
      <w:r>
        <w:rPr>
          <w:rFonts w:asciiTheme="minorEastAsia" w:hAnsiTheme="minorEastAsia" w:eastAsiaTheme="minorEastAsia"/>
          <w:szCs w:val="21"/>
          <w:u w:val="single"/>
        </w:rPr>
        <w:t>)</w:t>
      </w:r>
      <w:r>
        <w:rPr>
          <w:rFonts w:hint="eastAsia" w:asciiTheme="minorEastAsia" w:hAnsiTheme="minorEastAsia" w:eastAsiaTheme="minorEastAsia"/>
          <w:szCs w:val="21"/>
        </w:rPr>
        <w:t>授权</w:t>
      </w:r>
      <w:r>
        <w:rPr>
          <w:rFonts w:asciiTheme="minorEastAsia" w:hAnsiTheme="minorEastAsia" w:eastAsiaTheme="minorEastAsia"/>
          <w:szCs w:val="21"/>
        </w:rPr>
        <w:t xml:space="preserve"> </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委托代理人姓名</w:t>
      </w:r>
      <w:r>
        <w:rPr>
          <w:rFonts w:asciiTheme="minorEastAsia" w:hAnsiTheme="minorEastAsia" w:eastAsiaTheme="minorEastAsia"/>
          <w:szCs w:val="21"/>
          <w:u w:val="single"/>
        </w:rPr>
        <w:t>)</w:t>
      </w:r>
      <w:r>
        <w:rPr>
          <w:rFonts w:asciiTheme="minorEastAsia" w:hAnsiTheme="minorEastAsia" w:eastAsiaTheme="minorEastAsia"/>
          <w:szCs w:val="21"/>
        </w:rPr>
        <w:t xml:space="preserve"> </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职务、职称</w:t>
      </w:r>
      <w:r>
        <w:rPr>
          <w:rFonts w:asciiTheme="minorEastAsia" w:hAnsiTheme="minorEastAsia" w:eastAsiaTheme="minorEastAsia"/>
          <w:szCs w:val="21"/>
          <w:u w:val="single"/>
        </w:rPr>
        <w:t>)</w:t>
      </w:r>
      <w:r>
        <w:rPr>
          <w:rFonts w:hint="eastAsia" w:asciiTheme="minorEastAsia" w:hAnsiTheme="minorEastAsia" w:eastAsiaTheme="minorEastAsia"/>
          <w:szCs w:val="21"/>
        </w:rPr>
        <w:t>为委托代理人，参加贵方组织的</w:t>
      </w:r>
      <w:r>
        <w:rPr>
          <w:rFonts w:asciiTheme="minorEastAsia" w:hAnsiTheme="minorEastAsia" w:eastAsiaTheme="minorEastAsia"/>
          <w:szCs w:val="21"/>
        </w:rPr>
        <w:t xml:space="preserve"> </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招标编号、招标项目名称</w:t>
      </w:r>
      <w:r>
        <w:rPr>
          <w:rFonts w:asciiTheme="minorEastAsia" w:hAnsiTheme="minorEastAsia" w:eastAsiaTheme="minorEastAsia"/>
          <w:szCs w:val="21"/>
          <w:u w:val="single"/>
        </w:rPr>
        <w:t>)</w:t>
      </w:r>
      <w:r>
        <w:rPr>
          <w:rFonts w:hint="eastAsia" w:asciiTheme="minorEastAsia" w:hAnsiTheme="minorEastAsia" w:eastAsiaTheme="minorEastAsia"/>
          <w:szCs w:val="21"/>
        </w:rPr>
        <w:t>项目的有关招标活动，并进行投标，特此说明及承诺如下：</w:t>
      </w:r>
    </w:p>
    <w:p w14:paraId="2989974C">
      <w:pPr>
        <w:ind w:firstLine="420"/>
        <w:rPr>
          <w:rFonts w:asciiTheme="minorEastAsia" w:hAnsiTheme="minorEastAsia" w:eastAsiaTheme="minorEastAsia"/>
          <w:szCs w:val="21"/>
        </w:rPr>
      </w:pPr>
      <w:r>
        <w:rPr>
          <w:rFonts w:hint="eastAsia" w:asciiTheme="minorEastAsia" w:hAnsiTheme="minorEastAsia" w:eastAsiaTheme="minorEastAsia"/>
          <w:szCs w:val="21"/>
        </w:rPr>
        <w:t>1.已按招标文件规定递交投标文件：</w:t>
      </w:r>
    </w:p>
    <w:p w14:paraId="1511C244">
      <w:pPr>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1）投标文件内容包括：投标函、投标报价价格清单、投标保证金、承包人建议书、承包人实施方案、资格审查资料、投标人承诺书等及招标文件要求的其他内容。</w:t>
      </w:r>
    </w:p>
    <w:p w14:paraId="09BDF75D">
      <w:pPr>
        <w:ind w:firstLine="420"/>
        <w:rPr>
          <w:rFonts w:asciiTheme="minorEastAsia" w:hAnsiTheme="minorEastAsia" w:eastAsiaTheme="minorEastAsia"/>
          <w:szCs w:val="21"/>
        </w:rPr>
      </w:pPr>
      <w:r>
        <w:rPr>
          <w:rFonts w:hint="eastAsia" w:asciiTheme="minorEastAsia" w:hAnsiTheme="minorEastAsia" w:eastAsiaTheme="minorEastAsia"/>
          <w:szCs w:val="21"/>
        </w:rPr>
        <w:t>（2）电子版投标文件一份。</w:t>
      </w:r>
      <w:r>
        <w:rPr>
          <w:rFonts w:asciiTheme="minorEastAsia" w:hAnsiTheme="minorEastAsia" w:eastAsiaTheme="minorEastAsia"/>
          <w:szCs w:val="21"/>
        </w:rPr>
        <w:t xml:space="preserve"> </w:t>
      </w:r>
    </w:p>
    <w:p w14:paraId="075FCDED">
      <w:pPr>
        <w:ind w:firstLine="420"/>
        <w:rPr>
          <w:rFonts w:asciiTheme="minorEastAsia" w:hAnsiTheme="minorEastAsia" w:eastAsiaTheme="minorEastAsia"/>
          <w:szCs w:val="21"/>
        </w:rPr>
      </w:pPr>
      <w:r>
        <w:rPr>
          <w:rFonts w:hint="eastAsia" w:asciiTheme="minorEastAsia" w:hAnsiTheme="minorEastAsia" w:eastAsiaTheme="minorEastAsia"/>
          <w:szCs w:val="21"/>
        </w:rPr>
        <w:t>2.已按要求交纳投标保证金</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元人民币。</w:t>
      </w:r>
    </w:p>
    <w:p w14:paraId="3D4D1569">
      <w:pPr>
        <w:ind w:firstLine="420"/>
        <w:rPr>
          <w:rFonts w:asciiTheme="minorEastAsia" w:hAnsiTheme="minorEastAsia" w:eastAsiaTheme="minorEastAsia"/>
          <w:szCs w:val="21"/>
        </w:rPr>
      </w:pPr>
      <w:r>
        <w:rPr>
          <w:rFonts w:hint="eastAsia" w:asciiTheme="minorEastAsia" w:hAnsiTheme="minorEastAsia" w:eastAsiaTheme="minorEastAsia"/>
          <w:szCs w:val="21"/>
        </w:rPr>
        <w:t>3.投标项目的总投标价为</w:t>
      </w:r>
      <w:r>
        <w:rPr>
          <w:rFonts w:asciiTheme="minorEastAsia" w:hAnsiTheme="minorEastAsia" w:eastAsiaTheme="minorEastAsia"/>
          <w:szCs w:val="21"/>
        </w:rPr>
        <w:t>(</w:t>
      </w:r>
      <w:r>
        <w:rPr>
          <w:rFonts w:hint="eastAsia" w:asciiTheme="minorEastAsia" w:hAnsiTheme="minorEastAsia" w:eastAsiaTheme="minorEastAsia"/>
          <w:szCs w:val="21"/>
        </w:rPr>
        <w:t>大写</w:t>
      </w:r>
      <w:r>
        <w:rPr>
          <w:rFonts w:asciiTheme="minorEastAsia" w:hAnsiTheme="minorEastAsia" w:eastAsiaTheme="minorEastAsia"/>
          <w:szCs w:val="21"/>
        </w:rPr>
        <w:t>)</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人民币，含税）。</w:t>
      </w:r>
    </w:p>
    <w:p w14:paraId="632BEBC3">
      <w:pPr>
        <w:ind w:firstLine="420"/>
        <w:rPr>
          <w:rFonts w:asciiTheme="minorEastAsia" w:hAnsiTheme="minorEastAsia" w:eastAsiaTheme="minorEastAsia"/>
          <w:szCs w:val="21"/>
        </w:rPr>
      </w:pPr>
      <w:r>
        <w:rPr>
          <w:rFonts w:hint="eastAsia" w:asciiTheme="minorEastAsia" w:hAnsiTheme="minorEastAsia" w:eastAsiaTheme="minorEastAsia"/>
          <w:szCs w:val="21"/>
        </w:rPr>
        <w:t>4.我方将按招标文件的规定履行合同责任和义务。</w:t>
      </w:r>
    </w:p>
    <w:p w14:paraId="03279479">
      <w:pPr>
        <w:ind w:firstLine="420"/>
        <w:rPr>
          <w:rFonts w:asciiTheme="minorEastAsia" w:hAnsiTheme="minorEastAsia" w:eastAsiaTheme="minorEastAsia"/>
          <w:szCs w:val="21"/>
        </w:rPr>
      </w:pPr>
      <w:r>
        <w:rPr>
          <w:rFonts w:hint="eastAsia" w:asciiTheme="minorEastAsia" w:hAnsiTheme="minorEastAsia" w:eastAsiaTheme="minorEastAsia"/>
          <w:szCs w:val="21"/>
        </w:rPr>
        <w:t>5.我方已仔细研究本项目全部招标文件，包括招标文件所附合同条款，修改文件及其有效补充文件，以及全部参考资料和有关附件，除已提出的商务和技术偏离外，我们完全同意招标文件的所有条款，理解并同意放弃对这方面有不明及误解的权利。</w:t>
      </w:r>
    </w:p>
    <w:p w14:paraId="1D1E7A82">
      <w:pPr>
        <w:ind w:firstLine="420"/>
        <w:rPr>
          <w:rFonts w:asciiTheme="minorEastAsia" w:hAnsiTheme="minorEastAsia" w:eastAsiaTheme="minorEastAsia"/>
          <w:szCs w:val="21"/>
        </w:rPr>
      </w:pPr>
      <w:r>
        <w:rPr>
          <w:rFonts w:hint="eastAsia" w:asciiTheme="minorEastAsia" w:hAnsiTheme="minorEastAsia" w:eastAsiaTheme="minorEastAsia"/>
          <w:szCs w:val="21"/>
        </w:rPr>
        <w:t>6.如我方中标，招标文件构成合同的组成部分，对我方具有约束力。</w:t>
      </w:r>
    </w:p>
    <w:p w14:paraId="651ACB97">
      <w:pPr>
        <w:ind w:firstLine="420"/>
        <w:rPr>
          <w:rFonts w:asciiTheme="minorEastAsia" w:hAnsiTheme="minorEastAsia" w:eastAsiaTheme="minorEastAsia"/>
          <w:szCs w:val="21"/>
        </w:rPr>
      </w:pPr>
      <w:r>
        <w:rPr>
          <w:rFonts w:hint="eastAsia" w:asciiTheme="minorEastAsia" w:hAnsiTheme="minorEastAsia" w:eastAsiaTheme="minorEastAsia"/>
          <w:szCs w:val="21"/>
        </w:rPr>
        <w:t>7.本投标有效期为自投标截止日起</w:t>
      </w:r>
      <w:r>
        <w:rPr>
          <w:rFonts w:asciiTheme="minorEastAsia" w:hAnsiTheme="minorEastAsia" w:eastAsiaTheme="minorEastAsia"/>
          <w:szCs w:val="21"/>
          <w:u w:val="single"/>
        </w:rPr>
        <w:t>120</w:t>
      </w:r>
      <w:r>
        <w:rPr>
          <w:rFonts w:asciiTheme="minorEastAsia" w:hAnsiTheme="minorEastAsia" w:eastAsiaTheme="minorEastAsia"/>
          <w:szCs w:val="21"/>
        </w:rPr>
        <w:t>日历日</w:t>
      </w:r>
      <w:r>
        <w:rPr>
          <w:rFonts w:hint="eastAsia" w:asciiTheme="minorEastAsia" w:hAnsiTheme="minorEastAsia" w:eastAsiaTheme="minorEastAsia"/>
          <w:szCs w:val="21"/>
        </w:rPr>
        <w:t>。</w:t>
      </w:r>
    </w:p>
    <w:p w14:paraId="5C8E9F84">
      <w:pPr>
        <w:ind w:firstLine="420"/>
        <w:rPr>
          <w:rFonts w:asciiTheme="minorEastAsia" w:hAnsiTheme="minorEastAsia" w:eastAsiaTheme="minorEastAsia"/>
          <w:szCs w:val="21"/>
        </w:rPr>
      </w:pPr>
      <w:r>
        <w:rPr>
          <w:rFonts w:hint="eastAsia" w:asciiTheme="minorEastAsia" w:hAnsiTheme="minorEastAsia" w:eastAsiaTheme="minorEastAsia"/>
          <w:szCs w:val="21"/>
        </w:rPr>
        <w:t>8.我方同意招标文件关于不退还投标保证金的规定。</w:t>
      </w:r>
    </w:p>
    <w:p w14:paraId="7609EA0D">
      <w:pPr>
        <w:ind w:firstLine="420"/>
        <w:rPr>
          <w:rFonts w:asciiTheme="minorEastAsia" w:hAnsiTheme="minorEastAsia" w:eastAsiaTheme="minorEastAsia"/>
          <w:szCs w:val="21"/>
        </w:rPr>
      </w:pPr>
      <w:r>
        <w:rPr>
          <w:rFonts w:hint="eastAsia" w:asciiTheme="minorEastAsia" w:hAnsiTheme="minorEastAsia" w:eastAsiaTheme="minorEastAsia"/>
          <w:szCs w:val="21"/>
        </w:rPr>
        <w:t>9.我方同意遵守招标文件中的有关规定和收费标准。</w:t>
      </w:r>
    </w:p>
    <w:p w14:paraId="79282285">
      <w:pPr>
        <w:ind w:firstLine="420"/>
        <w:rPr>
          <w:rFonts w:asciiTheme="minorEastAsia" w:hAnsiTheme="minorEastAsia" w:eastAsiaTheme="minorEastAsia"/>
          <w:szCs w:val="21"/>
        </w:rPr>
      </w:pPr>
      <w:r>
        <w:rPr>
          <w:rFonts w:hint="eastAsia" w:asciiTheme="minorEastAsia" w:hAnsiTheme="minorEastAsia" w:eastAsiaTheme="minorEastAsia"/>
          <w:szCs w:val="21"/>
        </w:rPr>
        <w:t>10.我方同意提供贵方可能要求的与投标有关的一切数据或资料。</w:t>
      </w:r>
    </w:p>
    <w:p w14:paraId="2EC8C02E">
      <w:pPr>
        <w:ind w:firstLine="420"/>
        <w:rPr>
          <w:rFonts w:asciiTheme="minorEastAsia" w:hAnsiTheme="minorEastAsia" w:eastAsiaTheme="minorEastAsia"/>
          <w:szCs w:val="21"/>
        </w:rPr>
      </w:pPr>
      <w:r>
        <w:rPr>
          <w:rFonts w:hint="eastAsia" w:asciiTheme="minorEastAsia" w:hAnsiTheme="minorEastAsia" w:eastAsiaTheme="minorEastAsia"/>
          <w:szCs w:val="21"/>
        </w:rPr>
        <w:t>11.与本投标有关的一切往来通讯请寄：</w:t>
      </w:r>
    </w:p>
    <w:p w14:paraId="1949F73F">
      <w:pPr>
        <w:ind w:firstLine="42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地址：</w:t>
      </w:r>
      <w:r>
        <w:rPr>
          <w:rFonts w:asciiTheme="minorEastAsia" w:hAnsiTheme="minorEastAsia" w:eastAsiaTheme="minorEastAsia"/>
          <w:szCs w:val="21"/>
        </w:rPr>
        <w:t>____________________________________________________</w:t>
      </w:r>
    </w:p>
    <w:p w14:paraId="07BC3633">
      <w:pPr>
        <w:ind w:firstLine="42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邮编：</w:t>
      </w:r>
      <w:r>
        <w:rPr>
          <w:rFonts w:asciiTheme="minorEastAsia" w:hAnsiTheme="minorEastAsia" w:eastAsiaTheme="minorEastAsia"/>
          <w:szCs w:val="21"/>
        </w:rPr>
        <w:t>____________</w:t>
      </w:r>
      <w:r>
        <w:rPr>
          <w:rFonts w:hint="eastAsia" w:asciiTheme="minorEastAsia" w:hAnsiTheme="minorEastAsia" w:eastAsiaTheme="minorEastAsia"/>
          <w:szCs w:val="21"/>
        </w:rPr>
        <w:t>　电话：</w:t>
      </w:r>
      <w:r>
        <w:rPr>
          <w:rFonts w:asciiTheme="minorEastAsia" w:hAnsiTheme="minorEastAsia" w:eastAsiaTheme="minorEastAsia"/>
          <w:szCs w:val="21"/>
        </w:rPr>
        <w:t>____________</w:t>
      </w:r>
      <w:r>
        <w:rPr>
          <w:rFonts w:hint="eastAsia" w:asciiTheme="minorEastAsia" w:hAnsiTheme="minorEastAsia" w:eastAsiaTheme="minorEastAsia"/>
          <w:szCs w:val="21"/>
        </w:rPr>
        <w:t>　传真：</w:t>
      </w:r>
      <w:r>
        <w:rPr>
          <w:rFonts w:asciiTheme="minorEastAsia" w:hAnsiTheme="minorEastAsia" w:eastAsiaTheme="minorEastAsia"/>
          <w:szCs w:val="21"/>
        </w:rPr>
        <w:t>____________</w:t>
      </w:r>
    </w:p>
    <w:p w14:paraId="7387F6FF">
      <w:pPr>
        <w:ind w:firstLine="420"/>
        <w:rPr>
          <w:rFonts w:asciiTheme="minorEastAsia" w:hAnsiTheme="minorEastAsia" w:eastAsiaTheme="minorEastAsia"/>
          <w:szCs w:val="21"/>
        </w:rPr>
      </w:pPr>
      <w:r>
        <w:rPr>
          <w:rFonts w:asciiTheme="minorEastAsia" w:hAnsiTheme="minorEastAsia" w:eastAsiaTheme="minorEastAsia"/>
          <w:szCs w:val="21"/>
        </w:rPr>
        <w:t xml:space="preserve">     </w:t>
      </w:r>
    </w:p>
    <w:p w14:paraId="38927A5A">
      <w:pPr>
        <w:ind w:firstLine="420"/>
        <w:rPr>
          <w:rFonts w:asciiTheme="minorEastAsia" w:hAnsiTheme="minorEastAsia" w:eastAsiaTheme="minorEastAsia"/>
          <w:szCs w:val="21"/>
        </w:rPr>
      </w:pPr>
      <w:r>
        <w:rPr>
          <w:rFonts w:hint="eastAsia" w:asciiTheme="minorEastAsia" w:hAnsiTheme="minorEastAsia" w:eastAsiaTheme="minorEastAsia"/>
          <w:szCs w:val="21"/>
        </w:rPr>
        <w:t>投标单位</w:t>
      </w:r>
      <w:r>
        <w:rPr>
          <w:rFonts w:asciiTheme="minorEastAsia" w:hAnsiTheme="minorEastAsia" w:eastAsiaTheme="minorEastAsia"/>
          <w:szCs w:val="21"/>
        </w:rPr>
        <w:t>(</w:t>
      </w:r>
      <w:r>
        <w:rPr>
          <w:rFonts w:hint="eastAsia" w:asciiTheme="minorEastAsia" w:hAnsiTheme="minorEastAsia" w:eastAsiaTheme="minorEastAsia"/>
          <w:szCs w:val="21"/>
        </w:rPr>
        <w:t>盖章</w:t>
      </w:r>
      <w:r>
        <w:rPr>
          <w:rFonts w:asciiTheme="minorEastAsia" w:hAnsiTheme="minorEastAsia" w:eastAsiaTheme="minorEastAsia"/>
          <w:szCs w:val="21"/>
        </w:rPr>
        <w:t>)</w:t>
      </w:r>
      <w:r>
        <w:rPr>
          <w:rFonts w:hint="eastAsia" w:asciiTheme="minorEastAsia" w:hAnsiTheme="minorEastAsia" w:eastAsiaTheme="minorEastAsia"/>
          <w:szCs w:val="21"/>
        </w:rPr>
        <w:t>：</w:t>
      </w:r>
    </w:p>
    <w:p w14:paraId="13CACB71">
      <w:pPr>
        <w:ind w:firstLine="420"/>
        <w:rPr>
          <w:rFonts w:asciiTheme="minorEastAsia" w:hAnsiTheme="minorEastAsia" w:eastAsiaTheme="minorEastAsia"/>
          <w:szCs w:val="21"/>
        </w:rPr>
      </w:pPr>
      <w:r>
        <w:rPr>
          <w:rFonts w:hint="eastAsia" w:asciiTheme="minorEastAsia" w:hAnsiTheme="minorEastAsia" w:eastAsiaTheme="minorEastAsia"/>
          <w:szCs w:val="21"/>
        </w:rPr>
        <w:t>法定代表人或委托代理人</w:t>
      </w:r>
      <w:r>
        <w:rPr>
          <w:rFonts w:asciiTheme="minorEastAsia" w:hAnsiTheme="minorEastAsia" w:eastAsiaTheme="minorEastAsia"/>
          <w:szCs w:val="21"/>
        </w:rPr>
        <w:t>(</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rPr>
        <w:t>：</w:t>
      </w:r>
    </w:p>
    <w:p w14:paraId="098B054B">
      <w:pPr>
        <w:ind w:firstLine="420" w:firstLineChars="200"/>
        <w:rPr>
          <w:szCs w:val="21"/>
        </w:rPr>
      </w:pPr>
      <w:r>
        <w:rPr>
          <w:rFonts w:hint="eastAsia" w:asciiTheme="minorEastAsia" w:hAnsiTheme="minorEastAsia" w:eastAsiaTheme="minorEastAsia"/>
          <w:szCs w:val="21"/>
        </w:rPr>
        <w:t>日　期：</w:t>
      </w:r>
    </w:p>
    <w:p w14:paraId="2B628924">
      <w:pPr>
        <w:rPr>
          <w:szCs w:val="21"/>
        </w:rPr>
      </w:pPr>
    </w:p>
    <w:p w14:paraId="3D8FBF7C">
      <w:pPr>
        <w:pStyle w:val="3"/>
        <w:keepNext/>
        <w:keepLines/>
        <w:tabs>
          <w:tab w:val="clear" w:pos="425"/>
          <w:tab w:val="clear" w:pos="851"/>
        </w:tabs>
        <w:spacing w:before="260" w:after="260"/>
        <w:jc w:val="center"/>
        <w:rPr>
          <w:rFonts w:ascii="黑体" w:hAnsi="黑体" w:eastAsia="黑体"/>
          <w:sz w:val="32"/>
          <w:szCs w:val="44"/>
        </w:rPr>
      </w:pPr>
      <w:bookmarkStart w:id="442" w:name="_Toc247514283"/>
      <w:bookmarkStart w:id="443" w:name="_Toc98504149"/>
      <w:bookmarkStart w:id="444" w:name="_Toc152042580"/>
      <w:bookmarkStart w:id="445" w:name="_Toc152045791"/>
      <w:bookmarkStart w:id="446" w:name="_Toc115196116"/>
      <w:bookmarkStart w:id="447" w:name="_Toc144974860"/>
      <w:bookmarkStart w:id="448" w:name="_Toc247527831"/>
      <w:bookmarkStart w:id="449" w:name="_Toc61968484"/>
      <w:r>
        <w:rPr>
          <w:rFonts w:ascii="黑体" w:hAnsi="黑体" w:eastAsia="黑体"/>
          <w:sz w:val="32"/>
          <w:szCs w:val="44"/>
        </w:rPr>
        <w:t>二、法定代表人身份证明</w:t>
      </w:r>
      <w:bookmarkEnd w:id="442"/>
      <w:bookmarkEnd w:id="443"/>
      <w:bookmarkEnd w:id="444"/>
      <w:bookmarkEnd w:id="445"/>
      <w:bookmarkEnd w:id="446"/>
      <w:bookmarkEnd w:id="447"/>
      <w:bookmarkEnd w:id="448"/>
      <w:bookmarkEnd w:id="449"/>
    </w:p>
    <w:p w14:paraId="7EF7A86D">
      <w:pPr>
        <w:rPr>
          <w:sz w:val="20"/>
          <w:szCs w:val="20"/>
        </w:rPr>
      </w:pPr>
    </w:p>
    <w:p w14:paraId="1DCAB86D">
      <w:pPr>
        <w:rPr>
          <w:szCs w:val="21"/>
        </w:rPr>
      </w:pPr>
      <w:r>
        <w:rPr>
          <w:szCs w:val="21"/>
        </w:rPr>
        <w:t>投标人名称：</w:t>
      </w:r>
      <w:r>
        <w:rPr>
          <w:szCs w:val="21"/>
          <w:u w:val="single"/>
        </w:rPr>
        <w:t xml:space="preserve">                            </w:t>
      </w:r>
      <w:r>
        <w:rPr>
          <w:szCs w:val="21"/>
        </w:rPr>
        <w:t xml:space="preserve"> </w:t>
      </w:r>
    </w:p>
    <w:p w14:paraId="735B58BE">
      <w:pPr>
        <w:rPr>
          <w:szCs w:val="21"/>
        </w:rPr>
      </w:pPr>
      <w:r>
        <w:rPr>
          <w:szCs w:val="21"/>
        </w:rPr>
        <w:t>单位性质：</w:t>
      </w:r>
      <w:r>
        <w:rPr>
          <w:szCs w:val="21"/>
          <w:u w:val="single"/>
        </w:rPr>
        <w:t xml:space="preserve">                               </w:t>
      </w:r>
      <w:r>
        <w:rPr>
          <w:szCs w:val="21"/>
        </w:rPr>
        <w:t xml:space="preserve"> </w:t>
      </w:r>
    </w:p>
    <w:p w14:paraId="7942BB24">
      <w:pPr>
        <w:rPr>
          <w:szCs w:val="21"/>
        </w:rPr>
      </w:pPr>
      <w:r>
        <w:rPr>
          <w:szCs w:val="21"/>
        </w:rPr>
        <w:t>地址：</w:t>
      </w:r>
      <w:r>
        <w:rPr>
          <w:szCs w:val="21"/>
          <w:u w:val="single"/>
        </w:rPr>
        <w:t xml:space="preserve">                                   </w:t>
      </w:r>
    </w:p>
    <w:p w14:paraId="7A221207">
      <w:pPr>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47904C8">
      <w:pPr>
        <w:rPr>
          <w:szCs w:val="21"/>
        </w:rPr>
      </w:pPr>
      <w:r>
        <w:rPr>
          <w:szCs w:val="21"/>
        </w:rPr>
        <w:t>经营期限：</w:t>
      </w:r>
      <w:r>
        <w:rPr>
          <w:szCs w:val="21"/>
          <w:u w:val="single"/>
        </w:rPr>
        <w:t xml:space="preserve">                               </w:t>
      </w:r>
    </w:p>
    <w:p w14:paraId="591ED2BF">
      <w:pPr>
        <w:rPr>
          <w:szCs w:val="21"/>
        </w:rPr>
      </w:pPr>
      <w:r>
        <w:rPr>
          <w:szCs w:val="21"/>
        </w:rPr>
        <w:t>姓名：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szCs w:val="21"/>
        </w:rPr>
        <w:t>系</w:t>
      </w:r>
      <w:r>
        <w:rPr>
          <w:szCs w:val="21"/>
          <w:u w:val="single"/>
        </w:rPr>
        <w:t xml:space="preserve">            </w:t>
      </w:r>
      <w:r>
        <w:rPr>
          <w:rFonts w:hint="eastAsia"/>
          <w:szCs w:val="21"/>
        </w:rPr>
        <w:t>（</w:t>
      </w:r>
      <w:r>
        <w:rPr>
          <w:szCs w:val="21"/>
        </w:rPr>
        <w:t>投标人名称</w:t>
      </w:r>
      <w:r>
        <w:rPr>
          <w:rFonts w:hint="eastAsia"/>
          <w:szCs w:val="21"/>
        </w:rPr>
        <w:t>）</w:t>
      </w:r>
      <w:r>
        <w:rPr>
          <w:szCs w:val="21"/>
        </w:rPr>
        <w:t>的法定代表人。</w:t>
      </w:r>
    </w:p>
    <w:p w14:paraId="4BD5ABA2">
      <w:pPr>
        <w:ind w:firstLine="420" w:firstLineChars="200"/>
        <w:rPr>
          <w:szCs w:val="21"/>
        </w:rPr>
      </w:pPr>
      <w:r>
        <w:rPr>
          <w:szCs w:val="21"/>
        </w:rPr>
        <w:t>特此证明。</w:t>
      </w:r>
    </w:p>
    <w:p w14:paraId="35CE2883">
      <w:pPr>
        <w:rPr>
          <w:szCs w:val="21"/>
        </w:rPr>
      </w:pPr>
    </w:p>
    <w:p w14:paraId="241C15BB">
      <w:pPr>
        <w:rPr>
          <w:szCs w:val="21"/>
        </w:rPr>
      </w:pPr>
      <w:r>
        <w:rPr>
          <w:szCs w:val="21"/>
        </w:rPr>
        <w:t xml:space="preserve">                                 投标人：</w:t>
      </w:r>
      <w:r>
        <w:rPr>
          <w:szCs w:val="21"/>
          <w:u w:val="single"/>
        </w:rPr>
        <w:t xml:space="preserve">                 </w:t>
      </w:r>
      <w:r>
        <w:rPr>
          <w:szCs w:val="21"/>
        </w:rPr>
        <w:t>（盖单位章）</w:t>
      </w:r>
    </w:p>
    <w:p w14:paraId="71EF75B4">
      <w:pPr>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23CCC830">
      <w:pPr>
        <w:spacing w:line="460" w:lineRule="exact"/>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363220</wp:posOffset>
                </wp:positionV>
                <wp:extent cx="4000500" cy="2377440"/>
                <wp:effectExtent l="0" t="0" r="19050" b="2286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4000500" cy="2377440"/>
                        </a:xfrm>
                        <a:prstGeom prst="rect">
                          <a:avLst/>
                        </a:prstGeom>
                        <a:solidFill>
                          <a:srgbClr val="FFFFFF"/>
                        </a:solidFill>
                        <a:ln w="9525">
                          <a:solidFill>
                            <a:srgbClr val="000000"/>
                          </a:solidFill>
                          <a:miter lim="800000"/>
                        </a:ln>
                      </wps:spPr>
                      <wps:txbx>
                        <w:txbxContent>
                          <w:p w14:paraId="6C88322D"/>
                          <w:p w14:paraId="6AB2AB35"/>
                          <w:p w14:paraId="52E5F32A"/>
                          <w:p w14:paraId="7DB6DD43">
                            <w:pPr>
                              <w:jc w:val="center"/>
                            </w:pPr>
                            <w:r>
                              <w:rPr>
                                <w:rFonts w:hint="eastAsia"/>
                              </w:rPr>
                              <w:t>法定代表人身份证正反面复印件粘贴处</w:t>
                            </w:r>
                          </w:p>
                          <w:p w14:paraId="4A79293D">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6pt;height:187.2pt;width:315pt;z-index:251659264;mso-width-relative:page;mso-height-relative:page;" fillcolor="#FFFFFF" filled="t" stroked="t" coordsize="21600,21600" o:gfxdata="UEsDBAoAAAAAAIdO4kAAAAAAAAAAAAAAAAAEAAAAZHJzL1BLAwQUAAAACACHTuJADVsftNgAAAAJ&#10;AQAADwAAAGRycy9kb3ducmV2LnhtbE2PzU7DMBCE70i8g7VI3KjzA4GGbHoAFYljm164beIlCcR2&#10;FDtt4OlxT+U4O6uZb4rNogdx5Mn11iDEqwgEm8aq3rQIh2p79wTCeTKKBmsY4YcdbMrrq4JyZU9m&#10;x8e9b0UIMS4nhM77MZfSNR1rcis7sgnep500+SCnVqqJTiFcDzKJokxq6k1o6Gjkl46b7/2sEeo+&#10;OdDvrnqL9Hqb+vel+po/XhFvb+LoGYTnxV+e4Ywf0KEMTLWdjXJiQMjSMMUjPDwmIIKfrc+HGuE+&#10;jTOQZSH/Lyj/AFBLAwQUAAAACACHTuJAjCx3njoCAAB7BAAADgAAAGRycy9lMm9Eb2MueG1srVTB&#10;jtMwEL0j8Q+W7zRpaelu1HS1alWEtMBKCx/gOk5jYXvM2G1afgaJGx/B5yB+g4nTLd2Fwx7IIfJk&#10;xs/vvRlndrW3hu0UBg2u5MNBzplyEirtNiX/+GH14oKzEIWrhAGnSn5QgV/Nnz+btb5QI2jAVAoZ&#10;gbhQtL7kTYy+yLIgG2VFGIBXjpI1oBWRQtxkFYqW0K3JRnn+KmsBK48gVQj0ddkn+RERnwIIda2l&#10;WoLcWuVij4rKiEiSQqN94PPEtq6VjO/rOqjITMlJaUxvOoTW6+6dzWei2KDwjZZHCuIpFB5pskI7&#10;OvQEtRRRsC3qv6CslggB6jiQYLNeSHKEVAzzR97cNcKrpIWsDv5kevh/sPLd7haZrko+5swJSw3/&#10;9fX7zx/f2LjzpvWhoJI7f4uduuBvQH4KzMGiEW6jrhGhbZSoiNGwq88ebOiCQFvZun0LFUGLbYRk&#10;075G2wGSAWyfunE4dUPtI5P0cZzn+SSnRknKjV5Op+Nx6lcmivvtHkN8rcCyblFypHYneLG7CbGj&#10;I4r7kkQfjK5W2pgU4Ga9MMh2gkZjlZ6kgFSelxnH2pJfTkaThPwgF84hiC09/4KwOtKNMdqW/OK8&#10;yLijYZ1Hvddxv94fbV9DdSDrEPqZpRtLiwbwC2ctzWvJw+etQMWZeePI/sthZw+LKRhPpiMK8Dyz&#10;Ps8IJwmq5JGzfrmI/aXYetSbhk4aJrkOrqlltU5mdu3sWR1500wmj4/3pxv68zhV/fln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VsftNgAAAAJAQAADwAAAAAAAAABACAAAAAiAAAAZHJzL2Rv&#10;d25yZXYueG1sUEsBAhQAFAAAAAgAh07iQIwsd546AgAAewQAAA4AAAAAAAAAAQAgAAAAJwEAAGRy&#10;cy9lMm9Eb2MueG1sUEsFBgAAAAAGAAYAWQEAANMFAAAAAA==&#10;">
                <v:fill on="t" focussize="0,0"/>
                <v:stroke color="#000000" miterlimit="8" joinstyle="miter"/>
                <v:imagedata o:title=""/>
                <o:lock v:ext="edit" aspectratio="f"/>
                <v:textbox>
                  <w:txbxContent>
                    <w:p w14:paraId="6C88322D"/>
                    <w:p w14:paraId="6AB2AB35"/>
                    <w:p w14:paraId="52E5F32A"/>
                    <w:p w14:paraId="7DB6DD43">
                      <w:pPr>
                        <w:jc w:val="center"/>
                      </w:pPr>
                      <w:r>
                        <w:rPr>
                          <w:rFonts w:hint="eastAsia"/>
                        </w:rPr>
                        <w:t>法定代表人身份证正反面复印件粘贴处</w:t>
                      </w:r>
                    </w:p>
                    <w:p w14:paraId="4A79293D">
                      <w:pPr>
                        <w:jc w:val="center"/>
                      </w:pPr>
                    </w:p>
                  </w:txbxContent>
                </v:textbox>
              </v:rect>
            </w:pict>
          </mc:Fallback>
        </mc:AlternateContent>
      </w:r>
    </w:p>
    <w:p w14:paraId="0BD9BA2A">
      <w:pPr>
        <w:pStyle w:val="45"/>
        <w:ind w:firstLine="420"/>
      </w:pPr>
    </w:p>
    <w:p w14:paraId="377A8B83">
      <w:pPr>
        <w:widowControl/>
        <w:spacing w:line="240" w:lineRule="auto"/>
        <w:jc w:val="left"/>
        <w:rPr>
          <w:rFonts w:ascii="Arial" w:hAnsi="Arial" w:eastAsia="黑体"/>
          <w:b/>
          <w:bCs/>
          <w:sz w:val="28"/>
          <w:szCs w:val="28"/>
        </w:rPr>
      </w:pPr>
      <w:bookmarkStart w:id="450" w:name="_Toc152045792"/>
      <w:bookmarkStart w:id="451" w:name="_Toc247527832"/>
      <w:bookmarkStart w:id="452" w:name="_Toc144974861"/>
      <w:bookmarkStart w:id="453" w:name="_Toc247514284"/>
      <w:bookmarkStart w:id="454" w:name="_Toc152042581"/>
      <w:bookmarkStart w:id="455" w:name="_Toc61968485"/>
      <w:r>
        <w:rPr>
          <w:sz w:val="28"/>
          <w:szCs w:val="28"/>
        </w:rPr>
        <w:br w:type="page"/>
      </w:r>
    </w:p>
    <w:p w14:paraId="74C0855F">
      <w:pPr>
        <w:pStyle w:val="3"/>
        <w:keepNext/>
        <w:keepLines/>
        <w:tabs>
          <w:tab w:val="clear" w:pos="425"/>
          <w:tab w:val="clear" w:pos="851"/>
        </w:tabs>
        <w:spacing w:before="260" w:after="260"/>
        <w:jc w:val="center"/>
        <w:rPr>
          <w:rFonts w:ascii="黑体" w:hAnsi="黑体" w:eastAsia="黑体"/>
          <w:sz w:val="32"/>
          <w:szCs w:val="44"/>
        </w:rPr>
      </w:pPr>
      <w:bookmarkStart w:id="456" w:name="_Toc98504150"/>
      <w:bookmarkStart w:id="457" w:name="_Toc115196117"/>
      <w:r>
        <w:rPr>
          <w:rFonts w:ascii="黑体" w:hAnsi="黑体" w:eastAsia="黑体"/>
          <w:sz w:val="32"/>
          <w:szCs w:val="44"/>
        </w:rPr>
        <w:t>三、授权委托书</w:t>
      </w:r>
      <w:bookmarkEnd w:id="450"/>
      <w:bookmarkEnd w:id="451"/>
      <w:bookmarkEnd w:id="452"/>
      <w:bookmarkEnd w:id="453"/>
      <w:bookmarkEnd w:id="454"/>
      <w:bookmarkEnd w:id="455"/>
      <w:bookmarkEnd w:id="456"/>
      <w:bookmarkEnd w:id="457"/>
    </w:p>
    <w:p w14:paraId="1932D177">
      <w:pPr>
        <w:jc w:val="center"/>
      </w:pPr>
      <w:r>
        <w:rPr>
          <w:rFonts w:hint="eastAsia" w:ascii="黑体" w:eastAsia="黑体"/>
          <w:sz w:val="22"/>
          <w:szCs w:val="28"/>
        </w:rPr>
        <w:t>(法定代表人不能参加招标时出具)</w:t>
      </w:r>
    </w:p>
    <w:p w14:paraId="5899943D">
      <w:pPr>
        <w:rPr>
          <w:rFonts w:eastAsia="黑体"/>
          <w:szCs w:val="21"/>
        </w:rPr>
      </w:pPr>
    </w:p>
    <w:p w14:paraId="47EFB5D9">
      <w:pPr>
        <w:ind w:left="105" w:leftChars="50" w:firstLine="262" w:firstLineChars="125"/>
        <w:rPr>
          <w:szCs w:val="21"/>
        </w:rPr>
      </w:pPr>
      <w:r>
        <w:rPr>
          <w:rFonts w:hint="eastAsia"/>
          <w:szCs w:val="21"/>
        </w:rPr>
        <w:t>本人</w:t>
      </w:r>
      <w:r>
        <w:rPr>
          <w:rFonts w:hint="eastAsia"/>
          <w:szCs w:val="21"/>
          <w:u w:val="single"/>
        </w:rPr>
        <w:t>（姓名）</w:t>
      </w:r>
      <w:r>
        <w:rPr>
          <w:rFonts w:hint="eastAsia"/>
          <w:szCs w:val="21"/>
        </w:rPr>
        <w:t>系（</w:t>
      </w:r>
      <w:r>
        <w:rPr>
          <w:rFonts w:hint="eastAsia"/>
          <w:szCs w:val="21"/>
          <w:u w:val="single"/>
        </w:rPr>
        <w:t>投标人名称）</w:t>
      </w:r>
      <w:r>
        <w:rPr>
          <w:rFonts w:hint="eastAsia"/>
          <w:szCs w:val="21"/>
        </w:rPr>
        <w:t>的法定代表人，现委托</w:t>
      </w:r>
      <w:r>
        <w:rPr>
          <w:rFonts w:hint="eastAsia"/>
          <w:szCs w:val="21"/>
          <w:u w:val="single"/>
        </w:rPr>
        <w:t>（姓名）</w:t>
      </w:r>
      <w:r>
        <w:rPr>
          <w:rFonts w:hint="eastAsia"/>
          <w:szCs w:val="21"/>
        </w:rPr>
        <w:t>为我方委托代理人，代理人根据授权，以我方名义签署、澄清、说明、补正、递交、撤回、修改</w:t>
      </w:r>
      <w:r>
        <w:rPr>
          <w:rFonts w:hint="eastAsia"/>
          <w:szCs w:val="21"/>
          <w:u w:val="single"/>
        </w:rPr>
        <w:t>（项目名称及编号）</w:t>
      </w:r>
      <w:r>
        <w:rPr>
          <w:rFonts w:hint="eastAsia"/>
          <w:szCs w:val="21"/>
        </w:rPr>
        <w:t>项目投标文件、签订合同和处理有关事宜，其法律后果由我方承担。</w:t>
      </w:r>
    </w:p>
    <w:p w14:paraId="4C8969B9">
      <w:pPr>
        <w:spacing w:line="460" w:lineRule="exact"/>
        <w:ind w:firstLine="420"/>
        <w:rPr>
          <w:szCs w:val="21"/>
        </w:rPr>
      </w:pPr>
      <w:r>
        <w:rPr>
          <w:rFonts w:hint="eastAsia"/>
          <w:szCs w:val="21"/>
        </w:rPr>
        <w:t>代理人无转委托权。</w:t>
      </w:r>
    </w:p>
    <w:p w14:paraId="312BDF57">
      <w:pPr>
        <w:spacing w:line="460" w:lineRule="exact"/>
        <w:ind w:firstLine="420"/>
        <w:rPr>
          <w:szCs w:val="21"/>
        </w:rPr>
      </w:pPr>
    </w:p>
    <w:p w14:paraId="43149967">
      <w:pPr>
        <w:spacing w:line="460" w:lineRule="exact"/>
        <w:ind w:firstLine="420"/>
        <w:rPr>
          <w:szCs w:val="21"/>
          <w:u w:val="single"/>
        </w:rPr>
      </w:pPr>
      <w:r>
        <w:rPr>
          <w:rFonts w:hint="eastAsia"/>
          <w:szCs w:val="21"/>
        </w:rPr>
        <w:t>委托代理人：</w:t>
      </w:r>
      <w:r>
        <w:rPr>
          <w:rFonts w:hint="eastAsia"/>
          <w:szCs w:val="21"/>
          <w:u w:val="single"/>
        </w:rPr>
        <w:t xml:space="preserve">   </w:t>
      </w:r>
      <w:r>
        <w:rPr>
          <w:rFonts w:hint="eastAsia"/>
          <w:b/>
          <w:szCs w:val="21"/>
          <w:u w:val="single"/>
        </w:rPr>
        <w:t>（签字）</w:t>
      </w:r>
      <w:r>
        <w:rPr>
          <w:rFonts w:hint="eastAsia"/>
          <w:szCs w:val="21"/>
          <w:u w:val="single"/>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w:t>
      </w:r>
    </w:p>
    <w:p w14:paraId="141E8639">
      <w:pPr>
        <w:spacing w:line="460" w:lineRule="exact"/>
        <w:ind w:firstLine="420"/>
        <w:rPr>
          <w:szCs w:val="21"/>
          <w:u w:val="single"/>
        </w:rPr>
      </w:pPr>
      <w:r>
        <w:rPr>
          <w:rFonts w:hint="eastAsia"/>
          <w:szCs w:val="21"/>
        </w:rPr>
        <w:t>身份证号码：</w:t>
      </w:r>
      <w:r>
        <w:rPr>
          <w:szCs w:val="21"/>
          <w:u w:val="single"/>
        </w:rPr>
        <w:t xml:space="preserve">                </w:t>
      </w:r>
      <w:r>
        <w:rPr>
          <w:rFonts w:hint="eastAsia"/>
          <w:szCs w:val="21"/>
        </w:rPr>
        <w:t>；职务：</w:t>
      </w:r>
      <w:r>
        <w:rPr>
          <w:szCs w:val="21"/>
          <w:u w:val="single"/>
        </w:rPr>
        <w:t xml:space="preserve">      </w:t>
      </w:r>
      <w:r>
        <w:rPr>
          <w:rFonts w:hint="eastAsia"/>
          <w:szCs w:val="21"/>
        </w:rPr>
        <w:t>。</w:t>
      </w:r>
    </w:p>
    <w:p w14:paraId="76286975">
      <w:pPr>
        <w:spacing w:line="460" w:lineRule="exact"/>
        <w:ind w:firstLine="420"/>
        <w:rPr>
          <w:szCs w:val="21"/>
        </w:rPr>
      </w:pPr>
    </w:p>
    <w:tbl>
      <w:tblPr>
        <w:tblStyle w:val="46"/>
        <w:tblW w:w="0" w:type="auto"/>
        <w:tblInd w:w="10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0"/>
      </w:tblGrid>
      <w:tr w14:paraId="79C0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6480" w:type="dxa"/>
            <w:vAlign w:val="center"/>
          </w:tcPr>
          <w:p w14:paraId="0476B573">
            <w:pPr>
              <w:keepNext w:val="0"/>
              <w:keepLines w:val="0"/>
              <w:suppressLineNumbers w:val="0"/>
              <w:spacing w:before="0" w:beforeAutospacing="0" w:after="0" w:afterAutospacing="0"/>
              <w:ind w:left="0" w:right="0"/>
              <w:jc w:val="center"/>
              <w:rPr>
                <w:rFonts w:hint="default"/>
              </w:rPr>
            </w:pPr>
            <w:r>
              <w:rPr>
                <w:rFonts w:hint="eastAsia"/>
              </w:rPr>
              <w:t>委托代理人身份证正反面复印件粘贴处</w:t>
            </w:r>
          </w:p>
          <w:p w14:paraId="76C44453">
            <w:pPr>
              <w:keepNext w:val="0"/>
              <w:keepLines w:val="0"/>
              <w:suppressLineNumbers w:val="0"/>
              <w:spacing w:before="0" w:beforeAutospacing="0" w:after="0" w:afterAutospacing="0" w:line="460" w:lineRule="exact"/>
              <w:ind w:left="0" w:right="0" w:firstLine="420"/>
              <w:jc w:val="center"/>
              <w:rPr>
                <w:rFonts w:hint="default"/>
                <w:szCs w:val="21"/>
              </w:rPr>
            </w:pPr>
          </w:p>
        </w:tc>
      </w:tr>
    </w:tbl>
    <w:p w14:paraId="598BCA28">
      <w:pPr>
        <w:spacing w:line="460" w:lineRule="exact"/>
        <w:ind w:firstLine="420"/>
        <w:rPr>
          <w:szCs w:val="21"/>
        </w:rPr>
      </w:pPr>
    </w:p>
    <w:p w14:paraId="23D3DC0D">
      <w:pPr>
        <w:spacing w:line="460" w:lineRule="exact"/>
        <w:ind w:firstLine="420"/>
        <w:rPr>
          <w:szCs w:val="21"/>
        </w:rPr>
      </w:pPr>
    </w:p>
    <w:p w14:paraId="5F5A5096">
      <w:pPr>
        <w:spacing w:line="460" w:lineRule="exact"/>
        <w:ind w:firstLine="3255" w:firstLineChars="1550"/>
        <w:rPr>
          <w:szCs w:val="21"/>
        </w:rPr>
      </w:pPr>
      <w:r>
        <w:rPr>
          <w:rFonts w:hint="eastAsia"/>
          <w:szCs w:val="21"/>
        </w:rPr>
        <w:t xml:space="preserve">投标人：（盖章）  </w:t>
      </w:r>
    </w:p>
    <w:p w14:paraId="7663FCD9">
      <w:pPr>
        <w:spacing w:line="460" w:lineRule="exact"/>
        <w:ind w:firstLine="3255" w:firstLineChars="1550"/>
        <w:rPr>
          <w:szCs w:val="21"/>
        </w:rPr>
      </w:pPr>
      <w:r>
        <w:rPr>
          <w:rFonts w:hint="eastAsia"/>
          <w:szCs w:val="21"/>
        </w:rPr>
        <w:t>法定代表人：（签字或盖章）</w:t>
      </w:r>
    </w:p>
    <w:p w14:paraId="6EB52F06">
      <w:pPr>
        <w:spacing w:line="460" w:lineRule="exact"/>
        <w:ind w:firstLine="3255" w:firstLineChars="1550"/>
        <w:rPr>
          <w:szCs w:val="21"/>
        </w:rPr>
      </w:pPr>
      <w:r>
        <w:rPr>
          <w:rFonts w:hint="eastAsia"/>
          <w:szCs w:val="21"/>
        </w:rPr>
        <w:t>法定代理表人身份证号码：</w:t>
      </w:r>
      <w:r>
        <w:rPr>
          <w:rFonts w:hint="eastAsia"/>
          <w:szCs w:val="21"/>
          <w:u w:val="single"/>
        </w:rPr>
        <w:t xml:space="preserve">             </w:t>
      </w:r>
    </w:p>
    <w:p w14:paraId="61CD21E2">
      <w:pPr>
        <w:spacing w:line="460" w:lineRule="exact"/>
        <w:ind w:firstLine="3255" w:firstLineChars="1550"/>
        <w:rPr>
          <w:szCs w:val="21"/>
        </w:rPr>
      </w:pPr>
      <w:r>
        <w:rPr>
          <w:rFonts w:hint="eastAsia"/>
          <w:szCs w:val="21"/>
        </w:rPr>
        <w:t>授权委托日期：</w:t>
      </w:r>
      <w:r>
        <w:rPr>
          <w:rFonts w:hint="eastAsia"/>
          <w:szCs w:val="21"/>
          <w:u w:val="single"/>
        </w:rPr>
        <w:t xml:space="preserve">           </w:t>
      </w:r>
    </w:p>
    <w:p w14:paraId="5DF92D26">
      <w:pPr>
        <w:pStyle w:val="45"/>
        <w:ind w:firstLine="420"/>
      </w:pPr>
    </w:p>
    <w:p w14:paraId="4F54581B"/>
    <w:p w14:paraId="05164561"/>
    <w:p w14:paraId="50F8D9C7">
      <w:pPr>
        <w:widowControl/>
        <w:spacing w:line="240" w:lineRule="auto"/>
        <w:jc w:val="left"/>
        <w:rPr>
          <w:rFonts w:ascii="Arial" w:hAnsi="Arial" w:eastAsia="黑体"/>
          <w:b/>
          <w:bCs/>
          <w:sz w:val="28"/>
          <w:szCs w:val="28"/>
        </w:rPr>
      </w:pPr>
      <w:bookmarkStart w:id="458" w:name="_Toc247527833"/>
      <w:bookmarkStart w:id="459" w:name="_Toc61968486"/>
      <w:bookmarkStart w:id="460" w:name="_Toc152042582"/>
      <w:bookmarkStart w:id="461" w:name="_Toc98504151"/>
      <w:bookmarkStart w:id="462" w:name="_Toc152045793"/>
      <w:bookmarkStart w:id="463" w:name="_Toc247514285"/>
      <w:r>
        <w:rPr>
          <w:sz w:val="28"/>
          <w:szCs w:val="28"/>
        </w:rPr>
        <w:br w:type="page"/>
      </w:r>
    </w:p>
    <w:p w14:paraId="09AE6BD4">
      <w:pPr>
        <w:pStyle w:val="3"/>
        <w:keepNext/>
        <w:keepLines/>
        <w:tabs>
          <w:tab w:val="clear" w:pos="425"/>
          <w:tab w:val="clear" w:pos="851"/>
        </w:tabs>
        <w:spacing w:before="260" w:after="260"/>
        <w:jc w:val="center"/>
        <w:rPr>
          <w:rFonts w:ascii="黑体" w:hAnsi="黑体" w:eastAsia="黑体"/>
          <w:sz w:val="32"/>
          <w:szCs w:val="44"/>
        </w:rPr>
      </w:pPr>
      <w:bookmarkStart w:id="464" w:name="_Toc115196118"/>
      <w:r>
        <w:rPr>
          <w:rFonts w:hint="eastAsia" w:ascii="黑体" w:hAnsi="黑体" w:eastAsia="黑体"/>
          <w:sz w:val="32"/>
          <w:szCs w:val="44"/>
        </w:rPr>
        <w:t>四、联合体协议书</w:t>
      </w:r>
      <w:bookmarkEnd w:id="458"/>
      <w:bookmarkEnd w:id="459"/>
      <w:bookmarkEnd w:id="460"/>
      <w:bookmarkEnd w:id="461"/>
      <w:bookmarkEnd w:id="462"/>
      <w:bookmarkEnd w:id="463"/>
      <w:bookmarkEnd w:id="464"/>
    </w:p>
    <w:p w14:paraId="7397DA17">
      <w:pPr>
        <w:tabs>
          <w:tab w:val="left" w:pos="210"/>
          <w:tab w:val="center" w:pos="4535"/>
        </w:tabs>
        <w:adjustRightInd w:val="0"/>
        <w:snapToGrid w:val="0"/>
        <w:jc w:val="center"/>
        <w:rPr>
          <w:rFonts w:cs="宋体"/>
          <w:b/>
          <w:sz w:val="32"/>
          <w:szCs w:val="32"/>
          <w:lang w:bidi="ar"/>
        </w:rPr>
      </w:pPr>
      <w:r>
        <w:rPr>
          <w:rFonts w:hint="eastAsia" w:cs="宋体"/>
          <w:b/>
          <w:sz w:val="32"/>
          <w:szCs w:val="32"/>
          <w:lang w:bidi="ar"/>
        </w:rPr>
        <w:t>（示范文本）</w:t>
      </w:r>
    </w:p>
    <w:p w14:paraId="37588D1D">
      <w:pPr>
        <w:adjustRightInd w:val="0"/>
        <w:snapToGrid w:val="0"/>
        <w:rPr>
          <w:rFonts w:cs="Courier New"/>
          <w:szCs w:val="21"/>
        </w:rPr>
      </w:pPr>
      <w:r>
        <w:rPr>
          <w:rFonts w:hint="eastAsia" w:cs="Courier New"/>
          <w:szCs w:val="21"/>
          <w:lang w:bidi="ar"/>
        </w:rPr>
        <w:t>提示：本示范文本供双方签订联合体协议时参考，其中备注为联合体协议须明确包含的内容，招标人不对协议的完整性、准确性承担任何责任。</w:t>
      </w:r>
    </w:p>
    <w:p w14:paraId="7F6181EB">
      <w:pPr>
        <w:adjustRightInd w:val="0"/>
        <w:snapToGrid w:val="0"/>
        <w:rPr>
          <w:rFonts w:cs="Courier New"/>
          <w:szCs w:val="21"/>
          <w:u w:val="single"/>
        </w:rPr>
      </w:pPr>
      <w:r>
        <w:rPr>
          <w:rFonts w:hint="eastAsia" w:cs="Courier New"/>
          <w:szCs w:val="21"/>
          <w:lang w:bidi="ar"/>
        </w:rPr>
        <w:t>甲方全称（联合体牵头人）：</w:t>
      </w:r>
      <w:r>
        <w:rPr>
          <w:rFonts w:hint="eastAsia" w:cs="Courier New"/>
          <w:szCs w:val="21"/>
          <w:u w:val="single"/>
          <w:lang w:bidi="ar"/>
        </w:rPr>
        <w:t xml:space="preserve">                     </w:t>
      </w:r>
      <w:r>
        <w:rPr>
          <w:rFonts w:hint="eastAsia" w:cs="Courier New"/>
          <w:szCs w:val="21"/>
          <w:lang w:bidi="ar"/>
        </w:rPr>
        <w:t>法定代表人：</w:t>
      </w:r>
      <w:r>
        <w:rPr>
          <w:rFonts w:hint="eastAsia" w:cs="Courier New"/>
          <w:szCs w:val="21"/>
          <w:u w:val="single"/>
          <w:lang w:bidi="ar"/>
        </w:rPr>
        <w:t xml:space="preserve">             </w:t>
      </w:r>
    </w:p>
    <w:p w14:paraId="7131FD13">
      <w:pPr>
        <w:adjustRightInd w:val="0"/>
        <w:snapToGrid w:val="0"/>
        <w:rPr>
          <w:rFonts w:cs="Courier New"/>
          <w:szCs w:val="21"/>
          <w:u w:val="single"/>
        </w:rPr>
      </w:pPr>
      <w:r>
        <w:rPr>
          <w:rFonts w:hint="eastAsia" w:cs="Courier New"/>
          <w:szCs w:val="21"/>
          <w:lang w:bidi="ar"/>
        </w:rPr>
        <w:t>住所：</w:t>
      </w:r>
      <w:r>
        <w:rPr>
          <w:rFonts w:hint="eastAsia" w:cs="Courier New"/>
          <w:szCs w:val="21"/>
          <w:u w:val="single"/>
          <w:lang w:bidi="ar"/>
        </w:rPr>
        <w:t xml:space="preserve">                      </w:t>
      </w:r>
    </w:p>
    <w:p w14:paraId="689834FF">
      <w:pPr>
        <w:adjustRightInd w:val="0"/>
        <w:snapToGrid w:val="0"/>
        <w:rPr>
          <w:rFonts w:cs="Courier New"/>
          <w:szCs w:val="21"/>
          <w:u w:val="single"/>
        </w:rPr>
      </w:pPr>
      <w:r>
        <w:rPr>
          <w:rFonts w:hint="eastAsia" w:cs="Courier New"/>
          <w:szCs w:val="21"/>
          <w:lang w:bidi="ar"/>
        </w:rPr>
        <w:t>乙方全称（联合体成员）：</w:t>
      </w:r>
      <w:r>
        <w:rPr>
          <w:rFonts w:hint="eastAsia" w:cs="Courier New"/>
          <w:szCs w:val="21"/>
          <w:u w:val="single"/>
          <w:lang w:bidi="ar"/>
        </w:rPr>
        <w:t xml:space="preserve">                       </w:t>
      </w:r>
      <w:r>
        <w:rPr>
          <w:rFonts w:hint="eastAsia" w:cs="Courier New"/>
          <w:szCs w:val="21"/>
          <w:lang w:bidi="ar"/>
        </w:rPr>
        <w:t>法定代表人：</w:t>
      </w:r>
      <w:r>
        <w:rPr>
          <w:rFonts w:hint="eastAsia" w:cs="Courier New"/>
          <w:szCs w:val="21"/>
          <w:u w:val="single"/>
          <w:lang w:bidi="ar"/>
        </w:rPr>
        <w:t xml:space="preserve">             </w:t>
      </w:r>
    </w:p>
    <w:p w14:paraId="62FDA31E">
      <w:pPr>
        <w:adjustRightInd w:val="0"/>
        <w:snapToGrid w:val="0"/>
        <w:rPr>
          <w:rFonts w:cs="Courier New"/>
          <w:szCs w:val="21"/>
          <w:u w:val="single"/>
        </w:rPr>
      </w:pPr>
      <w:r>
        <w:rPr>
          <w:rFonts w:hint="eastAsia" w:cs="Courier New"/>
          <w:szCs w:val="21"/>
          <w:lang w:bidi="ar"/>
        </w:rPr>
        <w:t>住所：</w:t>
      </w:r>
      <w:r>
        <w:rPr>
          <w:rFonts w:hint="eastAsia" w:cs="Courier New"/>
          <w:szCs w:val="21"/>
          <w:u w:val="single"/>
          <w:lang w:bidi="ar"/>
        </w:rPr>
        <w:t xml:space="preserve">                      </w:t>
      </w:r>
    </w:p>
    <w:p w14:paraId="79531C0D">
      <w:pPr>
        <w:adjustRightInd w:val="0"/>
        <w:snapToGrid w:val="0"/>
        <w:ind w:firstLine="420" w:firstLineChars="200"/>
        <w:rPr>
          <w:rFonts w:cs="宋体"/>
          <w:szCs w:val="21"/>
        </w:rPr>
      </w:pPr>
      <w:r>
        <w:rPr>
          <w:rFonts w:hint="eastAsia" w:cs="Courier New"/>
          <w:szCs w:val="21"/>
          <w:lang w:bidi="ar"/>
        </w:rPr>
        <w:t>依照《中华人民共和国民法典》、《中华人民共和国建筑法》及其他有关法律、行政法规，遵循平等、自愿、公平和诚实信用的原则，结合盐城市联鑫钢铁有限公司（以下简称</w:t>
      </w:r>
      <w:r>
        <w:rPr>
          <w:rFonts w:hint="eastAsia" w:cs="Courier New"/>
          <w:b/>
          <w:szCs w:val="21"/>
          <w:lang w:bidi="ar"/>
        </w:rPr>
        <w:t>“建设单位”</w:t>
      </w:r>
      <w:r>
        <w:rPr>
          <w:rFonts w:hint="eastAsia" w:cs="Courier New"/>
          <w:szCs w:val="21"/>
          <w:lang w:bidi="ar"/>
        </w:rPr>
        <w:t>）</w:t>
      </w:r>
      <w:r>
        <w:rPr>
          <w:rFonts w:hint="eastAsia" w:cs="Courier New"/>
          <w:szCs w:val="21"/>
          <w:lang w:eastAsia="zh-CN" w:bidi="ar"/>
        </w:rPr>
        <w:t>优特钢升级改造项目</w:t>
      </w:r>
      <w:r>
        <w:rPr>
          <w:rFonts w:hint="eastAsia" w:cs="Courier New"/>
          <w:szCs w:val="21"/>
          <w:lang w:bidi="ar"/>
        </w:rPr>
        <w:t>（EPC）总承包招标文件所附合同条款（以下简称</w:t>
      </w:r>
      <w:r>
        <w:rPr>
          <w:rFonts w:hint="eastAsia" w:cs="Courier New"/>
          <w:b/>
          <w:szCs w:val="21"/>
          <w:lang w:bidi="ar"/>
        </w:rPr>
        <w:t>“主合同”</w:t>
      </w:r>
      <w:r>
        <w:rPr>
          <w:rFonts w:hint="eastAsia" w:cs="Courier New"/>
          <w:szCs w:val="21"/>
          <w:lang w:bidi="ar"/>
        </w:rPr>
        <w:t>），以及</w:t>
      </w:r>
      <w:r>
        <w:rPr>
          <w:rFonts w:hint="eastAsia" w:cs="Courier New"/>
          <w:szCs w:val="21"/>
          <w:lang w:eastAsia="zh-CN" w:bidi="ar"/>
        </w:rPr>
        <w:t>盐城市联鑫钢铁有限公司优特钢升级改造项目</w:t>
      </w:r>
      <w:r>
        <w:rPr>
          <w:rFonts w:hint="eastAsia" w:cs="Courier New"/>
          <w:szCs w:val="21"/>
          <w:lang w:bidi="ar"/>
        </w:rPr>
        <w:t>（以下简称</w:t>
      </w:r>
      <w:r>
        <w:rPr>
          <w:rFonts w:hint="eastAsia" w:cs="Courier New"/>
          <w:b/>
          <w:szCs w:val="21"/>
          <w:lang w:bidi="ar"/>
        </w:rPr>
        <w:t>“本项目”</w:t>
      </w:r>
      <w:r>
        <w:rPr>
          <w:rFonts w:hint="eastAsia" w:cs="Courier New"/>
          <w:szCs w:val="21"/>
          <w:lang w:bidi="ar"/>
        </w:rPr>
        <w:t>）的具体情况，就该工程设计、采购、施工（EPC）（EPC）总承包投标与实施组成联合体事项协商一致，特签订本联合体协议书。</w:t>
      </w:r>
    </w:p>
    <w:p w14:paraId="4887DB60">
      <w:pPr>
        <w:adjustRightInd w:val="0"/>
        <w:snapToGrid w:val="0"/>
        <w:ind w:firstLine="422" w:firstLineChars="200"/>
        <w:rPr>
          <w:rFonts w:cs="Courier New"/>
          <w:b/>
          <w:szCs w:val="21"/>
        </w:rPr>
      </w:pPr>
      <w:r>
        <w:rPr>
          <w:rFonts w:hint="eastAsia" w:cs="Courier New"/>
          <w:b/>
          <w:szCs w:val="21"/>
          <w:lang w:bidi="ar"/>
        </w:rPr>
        <w:t>第一条 工程概况：</w:t>
      </w:r>
    </w:p>
    <w:p w14:paraId="509A113D">
      <w:pPr>
        <w:numPr>
          <w:ilvl w:val="0"/>
          <w:numId w:val="22"/>
        </w:numPr>
        <w:adjustRightInd w:val="0"/>
        <w:snapToGrid w:val="0"/>
        <w:ind w:left="0" w:firstLine="420" w:firstLineChars="200"/>
        <w:rPr>
          <w:rFonts w:cs="宋体"/>
          <w:szCs w:val="21"/>
        </w:rPr>
      </w:pPr>
      <w:r>
        <w:rPr>
          <w:rFonts w:hint="eastAsia" w:cs="宋体"/>
          <w:szCs w:val="21"/>
          <w:lang w:bidi="ar"/>
        </w:rPr>
        <w:t>工程名称：</w:t>
      </w:r>
      <w:r>
        <w:rPr>
          <w:rFonts w:hint="eastAsia" w:cs="宋体"/>
          <w:b/>
          <w:szCs w:val="21"/>
          <w:u w:val="single"/>
          <w:lang w:bidi="ar"/>
        </w:rPr>
        <w:t xml:space="preserve">                       </w:t>
      </w:r>
      <w:r>
        <w:rPr>
          <w:rFonts w:hint="eastAsia" w:cs="宋体"/>
          <w:b/>
          <w:szCs w:val="21"/>
          <w:lang w:bidi="ar"/>
        </w:rPr>
        <w:t>；</w:t>
      </w:r>
      <w:r>
        <w:rPr>
          <w:rFonts w:hint="eastAsia" w:cs="宋体"/>
          <w:szCs w:val="21"/>
          <w:lang w:bidi="ar"/>
        </w:rPr>
        <w:t xml:space="preserve">  </w:t>
      </w:r>
      <w:r>
        <w:rPr>
          <w:rFonts w:hint="eastAsia" w:cs="Courier New"/>
          <w:b/>
          <w:szCs w:val="21"/>
          <w:lang w:bidi="ar"/>
        </w:rPr>
        <w:t xml:space="preserve">   </w:t>
      </w:r>
    </w:p>
    <w:p w14:paraId="2C6032EA">
      <w:pPr>
        <w:numPr>
          <w:ilvl w:val="0"/>
          <w:numId w:val="22"/>
        </w:numPr>
        <w:adjustRightInd w:val="0"/>
        <w:snapToGrid w:val="0"/>
        <w:ind w:left="0" w:firstLine="420" w:firstLineChars="200"/>
        <w:rPr>
          <w:rFonts w:cs="宋体"/>
          <w:szCs w:val="21"/>
        </w:rPr>
      </w:pPr>
      <w:r>
        <w:rPr>
          <w:rFonts w:hint="eastAsia" w:cs="宋体"/>
          <w:szCs w:val="21"/>
          <w:lang w:bidi="ar"/>
        </w:rPr>
        <w:t>工程地点：</w:t>
      </w:r>
      <w:r>
        <w:rPr>
          <w:rFonts w:hint="eastAsia" w:cs="宋体"/>
          <w:b/>
          <w:szCs w:val="21"/>
          <w:u w:val="single"/>
          <w:lang w:bidi="ar"/>
        </w:rPr>
        <w:t xml:space="preserve">                       </w:t>
      </w:r>
      <w:r>
        <w:rPr>
          <w:rFonts w:hint="eastAsia" w:cs="宋体"/>
          <w:b/>
          <w:szCs w:val="21"/>
          <w:lang w:bidi="ar"/>
        </w:rPr>
        <w:t>；</w:t>
      </w:r>
    </w:p>
    <w:p w14:paraId="4A4C9FCB">
      <w:pPr>
        <w:numPr>
          <w:ilvl w:val="0"/>
          <w:numId w:val="22"/>
        </w:numPr>
        <w:adjustRightInd w:val="0"/>
        <w:snapToGrid w:val="0"/>
        <w:ind w:left="0" w:firstLine="420" w:firstLineChars="200"/>
        <w:rPr>
          <w:rFonts w:cs="宋体"/>
          <w:snapToGrid w:val="0"/>
          <w:szCs w:val="21"/>
        </w:rPr>
      </w:pPr>
      <w:r>
        <w:rPr>
          <w:rFonts w:hint="eastAsia" w:cs="宋体"/>
          <w:szCs w:val="21"/>
          <w:lang w:bidi="ar"/>
        </w:rPr>
        <w:t>工程</w:t>
      </w:r>
      <w:r>
        <w:rPr>
          <w:rFonts w:hint="eastAsia" w:cs="宋体"/>
          <w:snapToGrid w:val="0"/>
          <w:szCs w:val="21"/>
          <w:lang w:bidi="ar"/>
        </w:rPr>
        <w:t>建设规模：</w:t>
      </w:r>
      <w:r>
        <w:rPr>
          <w:rFonts w:hint="eastAsia" w:cs="宋体"/>
          <w:snapToGrid w:val="0"/>
          <w:szCs w:val="21"/>
          <w:u w:val="single"/>
          <w:lang w:bidi="ar"/>
        </w:rPr>
        <w:t xml:space="preserve"> </w:t>
      </w:r>
      <w:r>
        <w:rPr>
          <w:rFonts w:hint="eastAsia" w:cs="宋体"/>
          <w:szCs w:val="21"/>
          <w:u w:val="single"/>
          <w:lang w:bidi="ar"/>
        </w:rPr>
        <w:t xml:space="preserve">                  </w:t>
      </w:r>
      <w:r>
        <w:rPr>
          <w:rFonts w:hint="eastAsia" w:cs="宋体"/>
          <w:szCs w:val="21"/>
          <w:lang w:bidi="ar"/>
        </w:rPr>
        <w:t>。</w:t>
      </w:r>
    </w:p>
    <w:p w14:paraId="483307C2">
      <w:pPr>
        <w:adjustRightInd w:val="0"/>
        <w:snapToGrid w:val="0"/>
        <w:ind w:firstLine="422" w:firstLineChars="200"/>
        <w:rPr>
          <w:rFonts w:cs="Courier New"/>
          <w:b/>
          <w:szCs w:val="21"/>
        </w:rPr>
      </w:pPr>
      <w:r>
        <w:rPr>
          <w:rFonts w:hint="eastAsia" w:cs="Courier New"/>
          <w:b/>
          <w:szCs w:val="21"/>
          <w:lang w:bidi="ar"/>
        </w:rPr>
        <w:t>第二条 甲乙双方分工：</w:t>
      </w:r>
    </w:p>
    <w:p w14:paraId="09EEB09D">
      <w:pPr>
        <w:adjustRightInd w:val="0"/>
        <w:snapToGrid w:val="0"/>
        <w:ind w:firstLine="422" w:firstLineChars="200"/>
        <w:rPr>
          <w:rFonts w:cs="Courier New"/>
          <w:b/>
          <w:szCs w:val="21"/>
        </w:rPr>
      </w:pPr>
      <w:r>
        <w:rPr>
          <w:rFonts w:hint="eastAsia" w:cs="Courier New"/>
          <w:b/>
          <w:szCs w:val="21"/>
          <w:lang w:bidi="ar"/>
        </w:rPr>
        <w:t>1.鉴于甲方具备</w:t>
      </w:r>
      <w:r>
        <w:rPr>
          <w:rFonts w:hint="eastAsia" w:cs="Courier New"/>
          <w:b/>
          <w:szCs w:val="21"/>
          <w:u w:val="single"/>
          <w:lang w:bidi="ar"/>
        </w:rPr>
        <w:t xml:space="preserve">            </w:t>
      </w:r>
      <w:r>
        <w:rPr>
          <w:rFonts w:hint="eastAsia" w:cs="Courier New"/>
          <w:b/>
          <w:szCs w:val="21"/>
          <w:lang w:bidi="ar"/>
        </w:rPr>
        <w:t>资质，甲方负责的工作内容：</w:t>
      </w:r>
    </w:p>
    <w:p w14:paraId="2B4F99A2">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4BA4ED3C">
      <w:pPr>
        <w:adjustRightInd w:val="0"/>
        <w:snapToGrid w:val="0"/>
        <w:ind w:firstLine="422" w:firstLineChars="200"/>
        <w:rPr>
          <w:rFonts w:cs="Courier New"/>
          <w:b/>
          <w:szCs w:val="21"/>
        </w:rPr>
      </w:pPr>
      <w:r>
        <w:rPr>
          <w:rFonts w:hint="eastAsia" w:cs="Courier New"/>
          <w:b/>
          <w:szCs w:val="21"/>
          <w:lang w:bidi="ar"/>
        </w:rPr>
        <w:t>2.鉴于乙方具备</w:t>
      </w:r>
      <w:r>
        <w:rPr>
          <w:rFonts w:hint="eastAsia" w:cs="Courier New"/>
          <w:b/>
          <w:szCs w:val="21"/>
          <w:u w:val="single"/>
          <w:lang w:bidi="ar"/>
        </w:rPr>
        <w:t xml:space="preserve">            </w:t>
      </w:r>
      <w:r>
        <w:rPr>
          <w:rFonts w:hint="eastAsia" w:cs="Courier New"/>
          <w:b/>
          <w:szCs w:val="21"/>
          <w:lang w:bidi="ar"/>
        </w:rPr>
        <w:t>资质，乙方负责的工作内容：</w:t>
      </w:r>
    </w:p>
    <w:p w14:paraId="1E63C2E9">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6B93AC3A">
      <w:pPr>
        <w:adjustRightInd w:val="0"/>
        <w:snapToGrid w:val="0"/>
        <w:ind w:firstLine="422" w:firstLineChars="200"/>
        <w:rPr>
          <w:rFonts w:cs="宋体"/>
          <w:b/>
          <w:szCs w:val="21"/>
        </w:rPr>
      </w:pPr>
      <w:r>
        <w:rPr>
          <w:rFonts w:hint="eastAsia" w:cs="宋体"/>
          <w:b/>
          <w:szCs w:val="21"/>
          <w:lang w:bidi="ar"/>
        </w:rPr>
        <w:t>备注：投标人可自行拟定各自分工约定，但应包含但不限于以下有关内容：</w:t>
      </w:r>
    </w:p>
    <w:p w14:paraId="466263E4">
      <w:pPr>
        <w:adjustRightInd w:val="0"/>
        <w:snapToGrid w:val="0"/>
        <w:ind w:firstLine="420" w:firstLineChars="200"/>
        <w:rPr>
          <w:rFonts w:cs="宋体"/>
          <w:szCs w:val="21"/>
        </w:rPr>
      </w:pPr>
      <w:r>
        <w:rPr>
          <w:rFonts w:hint="eastAsia" w:cs="宋体"/>
          <w:szCs w:val="21"/>
          <w:lang w:bidi="ar"/>
        </w:rPr>
        <w:t>1.工程设计主要内容应包括红线范围内的工程的总平、建筑、结构、给排水、电气、暖通、消防、智能、景观、装修、预算等专业设计。设计单位负责对建设单位提供的基础勘察数据的复核与验算，如认为勘察数据不满足工程施工图设计需要，需要进行复勘、详勘。工程设计单位需全过程参与工程施工过程，参与工序的验收、隐蔽，特殊工序须落实旁站，保证工程施工符合设计要求，确保分部分项工程深化、细化图纸的及时供应。</w:t>
      </w:r>
    </w:p>
    <w:p w14:paraId="11577EDF">
      <w:pPr>
        <w:adjustRightInd w:val="0"/>
        <w:snapToGrid w:val="0"/>
        <w:ind w:firstLine="420" w:firstLineChars="200"/>
        <w:rPr>
          <w:rFonts w:cs="宋体"/>
          <w:szCs w:val="21"/>
        </w:rPr>
      </w:pPr>
      <w:r>
        <w:rPr>
          <w:rFonts w:hint="eastAsia" w:cs="宋体"/>
          <w:szCs w:val="21"/>
          <w:lang w:bidi="ar"/>
        </w:rPr>
        <w:t>2.全过程项目管理。对工程的投资、质量、进度及安全文明施工进行控制，对工程的合同、信息进行管理，并负责协调有关参建各方及相关单位。</w:t>
      </w:r>
    </w:p>
    <w:p w14:paraId="7DB40D56">
      <w:pPr>
        <w:adjustRightInd w:val="0"/>
        <w:snapToGrid w:val="0"/>
        <w:ind w:firstLine="420" w:firstLineChars="200"/>
        <w:rPr>
          <w:rFonts w:cs="宋体"/>
          <w:szCs w:val="21"/>
        </w:rPr>
      </w:pPr>
      <w:r>
        <w:rPr>
          <w:rFonts w:hint="eastAsia" w:cs="宋体"/>
          <w:szCs w:val="21"/>
          <w:lang w:bidi="ar"/>
        </w:rPr>
        <w:t>3.施工过程中的各种图纸设计问题处理和技术交底工作，及时传递来自建设单位、监理、地方政府部门的涉及主合同执行的指令、通知、图纸、资料等。</w:t>
      </w:r>
    </w:p>
    <w:p w14:paraId="7C208FA3">
      <w:pPr>
        <w:adjustRightInd w:val="0"/>
        <w:snapToGrid w:val="0"/>
        <w:ind w:firstLine="420" w:firstLineChars="200"/>
        <w:rPr>
          <w:rFonts w:cs="宋体"/>
          <w:szCs w:val="21"/>
        </w:rPr>
      </w:pPr>
      <w:r>
        <w:rPr>
          <w:rFonts w:hint="eastAsia" w:cs="宋体"/>
          <w:szCs w:val="21"/>
          <w:lang w:bidi="ar"/>
        </w:rPr>
        <w:t>4.协助建设单位办理项目报建报批手续，包含但不限于以下内容：工程报建、合同备案、质量安全监督登记备案、施工许可证等。</w:t>
      </w:r>
    </w:p>
    <w:p w14:paraId="4579EDC3">
      <w:pPr>
        <w:adjustRightInd w:val="0"/>
        <w:snapToGrid w:val="0"/>
        <w:ind w:firstLine="420" w:firstLineChars="200"/>
        <w:rPr>
          <w:rFonts w:cs="宋体"/>
          <w:szCs w:val="21"/>
        </w:rPr>
      </w:pPr>
      <w:r>
        <w:rPr>
          <w:rFonts w:hint="eastAsia" w:cs="宋体"/>
          <w:szCs w:val="21"/>
          <w:lang w:bidi="ar"/>
        </w:rPr>
        <w:t>5.负责市政排污、噪音排放、建筑垃圾排放、道路开口等。</w:t>
      </w:r>
    </w:p>
    <w:p w14:paraId="6FF3C4E4">
      <w:pPr>
        <w:adjustRightInd w:val="0"/>
        <w:snapToGrid w:val="0"/>
        <w:ind w:firstLine="420" w:firstLineChars="200"/>
        <w:rPr>
          <w:rFonts w:cs="宋体"/>
          <w:szCs w:val="21"/>
        </w:rPr>
      </w:pPr>
      <w:r>
        <w:rPr>
          <w:rFonts w:hint="eastAsia" w:cs="宋体"/>
          <w:szCs w:val="21"/>
          <w:lang w:bidi="ar"/>
        </w:rPr>
        <w:t>6.负责施工管理。对工程的投资、质量、进度及安全文明施工进行控制，按相关备案及质监部门要求收集、整理、归档相关工程建设资料。</w:t>
      </w:r>
    </w:p>
    <w:p w14:paraId="4D90F9C6">
      <w:pPr>
        <w:adjustRightInd w:val="0"/>
        <w:snapToGrid w:val="0"/>
        <w:ind w:firstLine="420" w:firstLineChars="200"/>
        <w:rPr>
          <w:rFonts w:cs="宋体"/>
          <w:szCs w:val="21"/>
        </w:rPr>
      </w:pPr>
      <w:r>
        <w:rPr>
          <w:rFonts w:hint="eastAsia" w:cs="宋体"/>
          <w:szCs w:val="21"/>
          <w:lang w:bidi="ar"/>
        </w:rPr>
        <w:t>7.负责工程竣工及备案：①整理竣工验收及备案资料，并汇总整理各分包单位（劳务分包除外）的竣工验收及备案资料，完成相关验收，协助建设单位完成竣工验收工作；②对各设备（系统）进行调试；③协助建设单位办理竣工备案手续以及各专项验收、基建档案验收。（包括工艺物流，档案馆备案）</w:t>
      </w:r>
    </w:p>
    <w:p w14:paraId="0EF7663A">
      <w:pPr>
        <w:adjustRightInd w:val="0"/>
        <w:snapToGrid w:val="0"/>
        <w:ind w:firstLine="420" w:firstLineChars="200"/>
        <w:rPr>
          <w:rFonts w:cs="宋体"/>
          <w:szCs w:val="21"/>
        </w:rPr>
      </w:pPr>
      <w:r>
        <w:rPr>
          <w:rFonts w:hint="eastAsia" w:cs="宋体"/>
          <w:szCs w:val="21"/>
          <w:lang w:bidi="ar"/>
        </w:rPr>
        <w:t>8.按主合同的有关约定负责本项目质保期工作。</w:t>
      </w:r>
    </w:p>
    <w:p w14:paraId="7AC301B6">
      <w:pPr>
        <w:adjustRightInd w:val="0"/>
        <w:snapToGrid w:val="0"/>
        <w:ind w:firstLine="420" w:firstLineChars="200"/>
        <w:rPr>
          <w:rFonts w:cs="宋体"/>
          <w:szCs w:val="21"/>
        </w:rPr>
      </w:pPr>
      <w:r>
        <w:rPr>
          <w:rFonts w:hint="eastAsia" w:cs="宋体"/>
          <w:szCs w:val="21"/>
          <w:lang w:bidi="ar"/>
        </w:rPr>
        <w:t>9</w:t>
      </w:r>
      <w:r>
        <w:rPr>
          <w:rFonts w:cs="宋体"/>
          <w:szCs w:val="21"/>
          <w:lang w:bidi="ar"/>
        </w:rPr>
        <w:t>.</w:t>
      </w:r>
      <w:r>
        <w:rPr>
          <w:rFonts w:hint="eastAsia" w:cs="宋体"/>
          <w:szCs w:val="21"/>
          <w:lang w:bidi="ar"/>
        </w:rPr>
        <w:t>按主合同的有关约定负责本项目的施工（EPC）总承包工作。</w:t>
      </w:r>
    </w:p>
    <w:p w14:paraId="494B31E6">
      <w:pPr>
        <w:adjustRightInd w:val="0"/>
        <w:snapToGrid w:val="0"/>
        <w:ind w:firstLine="420" w:firstLineChars="200"/>
        <w:rPr>
          <w:rFonts w:cs="宋体"/>
          <w:szCs w:val="21"/>
        </w:rPr>
      </w:pPr>
      <w:r>
        <w:rPr>
          <w:rFonts w:hint="eastAsia" w:cs="宋体"/>
          <w:szCs w:val="21"/>
          <w:lang w:bidi="ar"/>
        </w:rPr>
        <w:t>10.本项目的设备、材料采购内容及管理工作分配：</w:t>
      </w:r>
      <w:r>
        <w:rPr>
          <w:rFonts w:cs="宋体"/>
          <w:szCs w:val="21"/>
          <w:u w:val="single"/>
          <w:lang w:bidi="ar"/>
        </w:rPr>
        <w:t xml:space="preserve">           </w:t>
      </w:r>
      <w:r>
        <w:rPr>
          <w:rFonts w:hint="eastAsia" w:cs="宋体"/>
          <w:szCs w:val="21"/>
          <w:u w:val="single"/>
          <w:lang w:bidi="ar"/>
        </w:rPr>
        <w:t xml:space="preserve">   </w:t>
      </w:r>
      <w:r>
        <w:rPr>
          <w:rFonts w:hint="eastAsia" w:cs="宋体"/>
          <w:szCs w:val="21"/>
          <w:lang w:bidi="ar"/>
        </w:rPr>
        <w:t>。</w:t>
      </w:r>
    </w:p>
    <w:p w14:paraId="3D14F37B">
      <w:pPr>
        <w:adjustRightInd w:val="0"/>
        <w:snapToGrid w:val="0"/>
        <w:ind w:firstLine="420" w:firstLineChars="200"/>
        <w:rPr>
          <w:rFonts w:cs="宋体"/>
          <w:szCs w:val="21"/>
          <w:lang w:bidi="ar"/>
        </w:rPr>
      </w:pPr>
      <w:r>
        <w:rPr>
          <w:rFonts w:hint="eastAsia" w:cs="宋体"/>
          <w:szCs w:val="21"/>
          <w:lang w:bidi="ar"/>
        </w:rPr>
        <w:t>11.本项目内部有关质量、工期、成本管理组织机构：</w:t>
      </w:r>
      <w:r>
        <w:rPr>
          <w:rFonts w:cs="宋体"/>
          <w:szCs w:val="21"/>
          <w:u w:val="single"/>
          <w:lang w:bidi="ar"/>
        </w:rPr>
        <w:t xml:space="preserve">                        </w:t>
      </w:r>
      <w:r>
        <w:rPr>
          <w:rFonts w:hint="eastAsia" w:cs="宋体"/>
          <w:szCs w:val="21"/>
          <w:lang w:bidi="ar"/>
        </w:rPr>
        <w:t xml:space="preserve">。 </w:t>
      </w:r>
    </w:p>
    <w:p w14:paraId="42B4A8AB">
      <w:pPr>
        <w:adjustRightInd w:val="0"/>
        <w:snapToGrid w:val="0"/>
        <w:ind w:firstLine="420" w:firstLineChars="200"/>
        <w:rPr>
          <w:rFonts w:cs="宋体"/>
          <w:szCs w:val="21"/>
        </w:rPr>
      </w:pPr>
      <w:r>
        <w:rPr>
          <w:rFonts w:hint="eastAsia" w:cs="宋体"/>
          <w:szCs w:val="21"/>
          <w:lang w:bidi="ar"/>
        </w:rPr>
        <w:t>12.组织对新材料、新设备、新工艺、新方法等的试验与论证。</w:t>
      </w:r>
    </w:p>
    <w:p w14:paraId="5168A430">
      <w:pPr>
        <w:adjustRightInd w:val="0"/>
        <w:snapToGrid w:val="0"/>
        <w:ind w:firstLine="420" w:firstLineChars="200"/>
        <w:rPr>
          <w:rFonts w:cs="宋体"/>
          <w:szCs w:val="21"/>
          <w:lang w:bidi="ar"/>
        </w:rPr>
      </w:pPr>
      <w:r>
        <w:rPr>
          <w:rFonts w:hint="eastAsia" w:cs="宋体"/>
          <w:szCs w:val="21"/>
          <w:lang w:bidi="ar"/>
        </w:rPr>
        <w:t>13.项目创新目标的实现，双方为此进行的分工如下：</w:t>
      </w:r>
      <w:r>
        <w:rPr>
          <w:rFonts w:cs="宋体"/>
          <w:szCs w:val="21"/>
          <w:u w:val="single"/>
          <w:lang w:bidi="ar"/>
        </w:rPr>
        <w:t xml:space="preserve">            </w:t>
      </w:r>
      <w:r>
        <w:rPr>
          <w:rFonts w:hint="eastAsia" w:cs="宋体"/>
          <w:szCs w:val="21"/>
          <w:lang w:bidi="ar"/>
        </w:rPr>
        <w:t>。</w:t>
      </w:r>
    </w:p>
    <w:p w14:paraId="5A5FF7A2">
      <w:pPr>
        <w:adjustRightInd w:val="0"/>
        <w:snapToGrid w:val="0"/>
        <w:ind w:firstLine="420" w:firstLineChars="200"/>
        <w:rPr>
          <w:rFonts w:cs="宋体"/>
          <w:szCs w:val="21"/>
          <w:lang w:bidi="ar"/>
        </w:rPr>
      </w:pPr>
      <w:r>
        <w:rPr>
          <w:rFonts w:hint="eastAsia" w:cs="宋体"/>
          <w:szCs w:val="21"/>
          <w:lang w:bidi="ar"/>
        </w:rPr>
        <w:t>14.应承担的其他工作分工：</w:t>
      </w:r>
      <w:r>
        <w:rPr>
          <w:rFonts w:hint="eastAsia" w:cs="宋体"/>
          <w:szCs w:val="21"/>
          <w:u w:val="single"/>
          <w:lang w:bidi="ar"/>
        </w:rPr>
        <w:t xml:space="preserve"> </w:t>
      </w:r>
      <w:r>
        <w:rPr>
          <w:rFonts w:cs="宋体"/>
          <w:szCs w:val="21"/>
          <w:u w:val="single"/>
          <w:lang w:bidi="ar"/>
        </w:rPr>
        <w:t xml:space="preserve">           </w:t>
      </w:r>
      <w:r>
        <w:rPr>
          <w:rFonts w:hint="eastAsia" w:cs="宋体"/>
          <w:szCs w:val="21"/>
          <w:lang w:bidi="ar"/>
        </w:rPr>
        <w:t xml:space="preserve">。 </w:t>
      </w:r>
    </w:p>
    <w:p w14:paraId="7E945DEB">
      <w:pPr>
        <w:ind w:firstLine="422" w:firstLineChars="200"/>
        <w:rPr>
          <w:rFonts w:cs="宋体"/>
          <w:b/>
          <w:szCs w:val="21"/>
        </w:rPr>
      </w:pPr>
      <w:r>
        <w:rPr>
          <w:rFonts w:hint="eastAsia" w:cs="宋体"/>
          <w:b/>
          <w:szCs w:val="21"/>
          <w:lang w:bidi="ar"/>
        </w:rPr>
        <w:t>第三条 双方责任</w:t>
      </w:r>
    </w:p>
    <w:p w14:paraId="0FD243E4">
      <w:pPr>
        <w:ind w:firstLine="422" w:firstLineChars="200"/>
        <w:rPr>
          <w:rFonts w:cs="宋体"/>
          <w:b/>
          <w:szCs w:val="21"/>
        </w:rPr>
      </w:pPr>
      <w:r>
        <w:rPr>
          <w:rFonts w:hint="eastAsia" w:cs="宋体"/>
          <w:b/>
          <w:szCs w:val="21"/>
          <w:lang w:bidi="ar"/>
        </w:rPr>
        <w:t>1.甲方责任：</w:t>
      </w:r>
    </w:p>
    <w:p w14:paraId="40AD8D61">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3D58610F">
      <w:pPr>
        <w:ind w:firstLine="422" w:firstLineChars="200"/>
        <w:rPr>
          <w:rFonts w:cs="宋体"/>
          <w:b/>
          <w:szCs w:val="21"/>
        </w:rPr>
      </w:pPr>
      <w:r>
        <w:rPr>
          <w:rFonts w:hint="eastAsia" w:cs="宋体"/>
          <w:b/>
          <w:szCs w:val="21"/>
          <w:lang w:bidi="ar"/>
        </w:rPr>
        <w:t>2.乙方责任：</w:t>
      </w:r>
    </w:p>
    <w:p w14:paraId="5329C336">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7A3637ED">
      <w:pPr>
        <w:adjustRightInd w:val="0"/>
        <w:snapToGrid w:val="0"/>
        <w:ind w:firstLine="422" w:firstLineChars="200"/>
        <w:rPr>
          <w:rFonts w:cs="宋体"/>
          <w:b/>
          <w:szCs w:val="21"/>
        </w:rPr>
      </w:pPr>
      <w:r>
        <w:rPr>
          <w:rFonts w:hint="eastAsia" w:cs="宋体"/>
          <w:b/>
          <w:szCs w:val="21"/>
          <w:lang w:bidi="ar"/>
        </w:rPr>
        <w:t>备注：投标人可自行协商拟定各自责任约定，责任约定应响应发包人招标文件原则要求，包含并不限于以下内容：</w:t>
      </w:r>
    </w:p>
    <w:p w14:paraId="3FB06445">
      <w:pPr>
        <w:adjustRightInd w:val="0"/>
        <w:snapToGrid w:val="0"/>
        <w:ind w:firstLine="420" w:firstLineChars="200"/>
        <w:rPr>
          <w:rFonts w:cs="宋体"/>
          <w:szCs w:val="21"/>
          <w:lang w:bidi="ar"/>
        </w:rPr>
      </w:pPr>
      <w:r>
        <w:rPr>
          <w:rFonts w:hint="eastAsia" w:cs="宋体"/>
          <w:szCs w:val="21"/>
          <w:lang w:bidi="ar"/>
        </w:rPr>
        <w:t>1.发包人对连带责任及索赔要求的响应约定。</w:t>
      </w:r>
    </w:p>
    <w:p w14:paraId="6415520B">
      <w:pPr>
        <w:adjustRightInd w:val="0"/>
        <w:snapToGrid w:val="0"/>
        <w:ind w:firstLine="420" w:firstLineChars="200"/>
        <w:rPr>
          <w:rFonts w:cs="宋体"/>
          <w:szCs w:val="21"/>
          <w:lang w:bidi="ar"/>
        </w:rPr>
      </w:pPr>
      <w:r>
        <w:rPr>
          <w:rFonts w:hint="eastAsia" w:cs="宋体"/>
          <w:szCs w:val="21"/>
          <w:lang w:bidi="ar"/>
        </w:rPr>
        <w:t>2.发包人对工程进度、质量、安全、文明施工和交付使用后的保修管理要求响应约定。</w:t>
      </w:r>
    </w:p>
    <w:p w14:paraId="1A6E67D2">
      <w:pPr>
        <w:adjustRightInd w:val="0"/>
        <w:snapToGrid w:val="0"/>
        <w:ind w:firstLine="420" w:firstLineChars="200"/>
        <w:rPr>
          <w:rFonts w:cs="宋体"/>
          <w:szCs w:val="21"/>
          <w:lang w:bidi="ar"/>
        </w:rPr>
      </w:pPr>
      <w:r>
        <w:rPr>
          <w:rFonts w:hint="eastAsia" w:cs="宋体"/>
          <w:szCs w:val="21"/>
          <w:lang w:bidi="ar"/>
        </w:rPr>
        <w:t>3.发包人对设计、采购、工程预算、合同支付、项目管理等各环节要求的响应约定。</w:t>
      </w:r>
    </w:p>
    <w:p w14:paraId="18033C28">
      <w:pPr>
        <w:adjustRightInd w:val="0"/>
        <w:snapToGrid w:val="0"/>
        <w:ind w:firstLine="420" w:firstLineChars="200"/>
        <w:rPr>
          <w:rFonts w:cs="宋体"/>
          <w:szCs w:val="21"/>
        </w:rPr>
      </w:pPr>
      <w:r>
        <w:rPr>
          <w:rFonts w:hint="eastAsia" w:cs="宋体"/>
          <w:szCs w:val="21"/>
          <w:lang w:bidi="ar"/>
        </w:rPr>
        <w:t>4.发包人对项目过程沟通要求的响应约定。</w:t>
      </w:r>
    </w:p>
    <w:p w14:paraId="761FBA17">
      <w:pPr>
        <w:adjustRightInd w:val="0"/>
        <w:snapToGrid w:val="0"/>
        <w:ind w:firstLine="420" w:firstLineChars="200"/>
        <w:rPr>
          <w:rFonts w:cs="宋体"/>
          <w:szCs w:val="21"/>
        </w:rPr>
      </w:pPr>
      <w:r>
        <w:rPr>
          <w:rFonts w:cs="宋体"/>
          <w:szCs w:val="21"/>
          <w:lang w:bidi="ar"/>
        </w:rPr>
        <w:t>5</w:t>
      </w:r>
      <w:r>
        <w:rPr>
          <w:rFonts w:hint="eastAsia" w:cs="宋体"/>
          <w:szCs w:val="21"/>
          <w:lang w:bidi="ar"/>
        </w:rPr>
        <w:t>.联合体成员单位间决策机制约定：</w:t>
      </w:r>
    </w:p>
    <w:p w14:paraId="2047124E">
      <w:pPr>
        <w:widowControl/>
        <w:adjustRightInd w:val="0"/>
        <w:snapToGrid w:val="0"/>
        <w:ind w:firstLine="420" w:firstLineChars="200"/>
        <w:rPr>
          <w:rFonts w:cs="宋体"/>
          <w:kern w:val="0"/>
          <w:szCs w:val="21"/>
        </w:rPr>
      </w:pPr>
      <w:r>
        <w:rPr>
          <w:rFonts w:hint="eastAsia" w:cs="宋体"/>
          <w:kern w:val="0"/>
          <w:szCs w:val="21"/>
          <w:lang w:bidi="ar"/>
        </w:rPr>
        <w:t>联合体重大事项决策小组成员名单：甲方</w:t>
      </w:r>
      <w:r>
        <w:rPr>
          <w:rFonts w:hint="eastAsia" w:cs="宋体"/>
          <w:kern w:val="0"/>
          <w:szCs w:val="21"/>
          <w:u w:val="single"/>
          <w:lang w:bidi="ar"/>
        </w:rPr>
        <w:t xml:space="preserve">   </w:t>
      </w:r>
      <w:r>
        <w:rPr>
          <w:rFonts w:hint="eastAsia" w:cs="宋体"/>
          <w:kern w:val="0"/>
          <w:szCs w:val="21"/>
          <w:lang w:bidi="ar"/>
        </w:rPr>
        <w:t xml:space="preserve"> ；乙方</w:t>
      </w:r>
      <w:r>
        <w:rPr>
          <w:rFonts w:hint="eastAsia" w:cs="宋体"/>
          <w:kern w:val="0"/>
          <w:szCs w:val="21"/>
          <w:u w:val="single"/>
          <w:lang w:bidi="ar"/>
        </w:rPr>
        <w:t xml:space="preserve">      </w:t>
      </w:r>
      <w:r>
        <w:rPr>
          <w:rFonts w:hint="eastAsia" w:cs="宋体"/>
          <w:kern w:val="0"/>
          <w:szCs w:val="21"/>
          <w:lang w:bidi="ar"/>
        </w:rPr>
        <w:t>。</w:t>
      </w:r>
    </w:p>
    <w:p w14:paraId="71CA0492">
      <w:pPr>
        <w:widowControl/>
        <w:adjustRightInd w:val="0"/>
        <w:snapToGrid w:val="0"/>
        <w:ind w:firstLine="420" w:firstLineChars="200"/>
        <w:rPr>
          <w:rFonts w:cs="宋体"/>
          <w:kern w:val="0"/>
          <w:szCs w:val="21"/>
        </w:rPr>
      </w:pPr>
      <w:r>
        <w:rPr>
          <w:rFonts w:hint="eastAsia" w:cs="宋体"/>
          <w:kern w:val="0"/>
          <w:szCs w:val="21"/>
          <w:lang w:bidi="ar"/>
        </w:rPr>
        <w:t>联合体议事规则：联合体最高决策机构为联合体会议，联合体会议形成的会议纪要对全部联合体成员具有拘束力，联合体会议每一月召开一次，联合体会议纪要须报送发包人备案。</w:t>
      </w:r>
    </w:p>
    <w:p w14:paraId="44815926">
      <w:pPr>
        <w:widowControl/>
        <w:adjustRightInd w:val="0"/>
        <w:snapToGrid w:val="0"/>
        <w:ind w:firstLine="420" w:firstLineChars="200"/>
        <w:rPr>
          <w:rFonts w:cs="宋体"/>
          <w:szCs w:val="21"/>
          <w:lang w:bidi="ar"/>
        </w:rPr>
      </w:pPr>
      <w:r>
        <w:rPr>
          <w:rFonts w:hint="eastAsia" w:cs="宋体"/>
          <w:szCs w:val="21"/>
          <w:lang w:bidi="ar"/>
        </w:rPr>
        <w:t>特别约定：双方共同商定，</w:t>
      </w:r>
      <w:r>
        <w:rPr>
          <w:rFonts w:hint="eastAsia" w:cs="宋体"/>
          <w:kern w:val="0"/>
          <w:szCs w:val="21"/>
          <w:lang w:bidi="ar"/>
        </w:rPr>
        <w:t>由</w:t>
      </w:r>
      <w:r>
        <w:rPr>
          <w:rFonts w:hint="eastAsia" w:cs="宋体"/>
          <w:kern w:val="0"/>
          <w:szCs w:val="21"/>
          <w:u w:val="single"/>
          <w:lang w:bidi="ar"/>
        </w:rPr>
        <w:t xml:space="preserve">      </w:t>
      </w:r>
      <w:r>
        <w:rPr>
          <w:rFonts w:hint="eastAsia" w:cs="宋体"/>
          <w:kern w:val="0"/>
          <w:szCs w:val="21"/>
          <w:lang w:bidi="ar"/>
        </w:rPr>
        <w:t>代表联合体与发包人接洽工程事务。</w:t>
      </w:r>
      <w:r>
        <w:rPr>
          <w:rFonts w:hint="eastAsia" w:cs="宋体"/>
          <w:szCs w:val="21"/>
          <w:lang w:bidi="ar"/>
        </w:rPr>
        <w:t>联合体牵头单位与发包人签署的所有文件，对联合体全部成员有拘束力，联合体成员单位必须执行。发包人可要求联合体召开联合体会议讨论重大事项。</w:t>
      </w:r>
    </w:p>
    <w:p w14:paraId="517C209E">
      <w:pPr>
        <w:pStyle w:val="44"/>
        <w:rPr>
          <w:rFonts w:cs="Courier New"/>
          <w:b/>
          <w:szCs w:val="21"/>
        </w:rPr>
      </w:pPr>
      <w:r>
        <w:rPr>
          <w:rFonts w:cs="宋体"/>
          <w:kern w:val="0"/>
          <w:szCs w:val="21"/>
          <w:lang w:bidi="ar"/>
        </w:rPr>
        <w:t>6.</w:t>
      </w:r>
      <w:r>
        <w:rPr>
          <w:rFonts w:hint="eastAsia" w:cs="宋体"/>
          <w:kern w:val="0"/>
          <w:szCs w:val="21"/>
          <w:lang w:bidi="ar"/>
        </w:rPr>
        <w:t>承包费用分配与承担</w:t>
      </w:r>
      <w:r>
        <w:rPr>
          <w:rFonts w:hint="eastAsia" w:ascii="宋体" w:hAnsi="宋体" w:eastAsia="宋体" w:cs="宋体"/>
          <w:kern w:val="0"/>
          <w:szCs w:val="21"/>
          <w:lang w:bidi="ar"/>
        </w:rPr>
        <w:t>的约定：</w:t>
      </w:r>
      <w:r>
        <w:rPr>
          <w:rFonts w:hint="eastAsia" w:cs="Courier New"/>
          <w:b/>
          <w:szCs w:val="21"/>
          <w:u w:val="single"/>
          <w:lang w:bidi="ar"/>
        </w:rPr>
        <w:t xml:space="preserve">                      </w:t>
      </w:r>
      <w:r>
        <w:rPr>
          <w:rFonts w:hint="eastAsia" w:cs="Courier New"/>
          <w:b/>
          <w:szCs w:val="21"/>
          <w:lang w:bidi="ar"/>
        </w:rPr>
        <w:t>。</w:t>
      </w:r>
    </w:p>
    <w:p w14:paraId="7681ECC6">
      <w:pPr>
        <w:ind w:firstLine="422" w:firstLineChars="200"/>
        <w:rPr>
          <w:rFonts w:cs="宋体"/>
          <w:b/>
          <w:szCs w:val="21"/>
        </w:rPr>
      </w:pPr>
      <w:r>
        <w:rPr>
          <w:rFonts w:hint="eastAsia" w:cs="宋体"/>
          <w:b/>
          <w:szCs w:val="21"/>
          <w:lang w:bidi="ar"/>
        </w:rPr>
        <w:t>备注：投标人可自行拟定相关约定，但应包含以下有关内容：</w:t>
      </w:r>
    </w:p>
    <w:p w14:paraId="143DCEA5">
      <w:pPr>
        <w:adjustRightInd w:val="0"/>
        <w:snapToGrid w:val="0"/>
        <w:ind w:firstLine="420" w:firstLineChars="200"/>
        <w:rPr>
          <w:rFonts w:cs="宋体"/>
          <w:szCs w:val="21"/>
        </w:rPr>
      </w:pPr>
      <w:r>
        <w:rPr>
          <w:rFonts w:hint="eastAsia" w:cs="宋体"/>
          <w:szCs w:val="21"/>
          <w:lang w:bidi="ar"/>
        </w:rPr>
        <w:t>1.</w:t>
      </w:r>
      <w:r>
        <w:rPr>
          <w:rFonts w:hint="eastAsia" w:cs="宋体"/>
          <w:szCs w:val="21"/>
          <w:u w:val="single"/>
          <w:lang w:bidi="ar"/>
        </w:rPr>
        <w:t xml:space="preserve">   </w:t>
      </w:r>
      <w:r>
        <w:rPr>
          <w:rFonts w:hint="eastAsia" w:cs="宋体"/>
          <w:szCs w:val="21"/>
          <w:lang w:bidi="ar"/>
        </w:rPr>
        <w:t>方负责设计工作，设计费为</w:t>
      </w:r>
      <w:r>
        <w:rPr>
          <w:rFonts w:hint="eastAsia" w:cs="宋体"/>
          <w:szCs w:val="21"/>
          <w:u w:val="single"/>
          <w:lang w:bidi="ar"/>
        </w:rPr>
        <w:t xml:space="preserve">     </w:t>
      </w:r>
      <w:r>
        <w:rPr>
          <w:rFonts w:hint="eastAsia" w:cs="宋体"/>
          <w:szCs w:val="21"/>
          <w:lang w:bidi="ar"/>
        </w:rPr>
        <w:t>万元，该费用为</w:t>
      </w:r>
      <w:r>
        <w:rPr>
          <w:rFonts w:hint="eastAsia" w:cs="宋体"/>
          <w:szCs w:val="21"/>
          <w:u w:val="single"/>
          <w:lang w:bidi="ar"/>
        </w:rPr>
        <w:t xml:space="preserve">   </w:t>
      </w:r>
      <w:r>
        <w:rPr>
          <w:rFonts w:hint="eastAsia" w:cs="宋体"/>
          <w:szCs w:val="21"/>
          <w:lang w:bidi="ar"/>
        </w:rPr>
        <w:t>方所得。</w:t>
      </w:r>
    </w:p>
    <w:p w14:paraId="26AA2AE8">
      <w:pPr>
        <w:adjustRightInd w:val="0"/>
        <w:snapToGrid w:val="0"/>
        <w:ind w:firstLine="420" w:firstLineChars="200"/>
        <w:rPr>
          <w:rFonts w:cs="宋体"/>
          <w:szCs w:val="21"/>
        </w:rPr>
      </w:pPr>
      <w:r>
        <w:rPr>
          <w:rFonts w:hint="eastAsia" w:cs="宋体"/>
          <w:szCs w:val="21"/>
          <w:lang w:bidi="ar"/>
        </w:rPr>
        <w:t xml:space="preserve">2.主合同中的施工费用的 </w:t>
      </w:r>
      <w:r>
        <w:rPr>
          <w:rFonts w:hint="eastAsia" w:cs="宋体"/>
          <w:szCs w:val="21"/>
          <w:u w:val="single"/>
          <w:lang w:bidi="ar"/>
        </w:rPr>
        <w:t xml:space="preserve">    </w:t>
      </w:r>
      <w:r>
        <w:rPr>
          <w:rFonts w:hint="eastAsia" w:cs="宋体"/>
          <w:szCs w:val="21"/>
          <w:lang w:bidi="ar"/>
        </w:rPr>
        <w:t>%为</w:t>
      </w:r>
      <w:r>
        <w:rPr>
          <w:rFonts w:hint="eastAsia" w:cs="宋体"/>
          <w:szCs w:val="21"/>
          <w:u w:val="single"/>
          <w:lang w:bidi="ar"/>
        </w:rPr>
        <w:t xml:space="preserve">    </w:t>
      </w:r>
      <w:r>
        <w:rPr>
          <w:rFonts w:hint="eastAsia" w:cs="宋体"/>
          <w:szCs w:val="21"/>
          <w:lang w:bidi="ar"/>
        </w:rPr>
        <w:t>方所得费用，</w:t>
      </w:r>
      <w:r>
        <w:rPr>
          <w:rFonts w:hint="eastAsia" w:cs="宋体"/>
          <w:szCs w:val="21"/>
          <w:u w:val="single"/>
          <w:lang w:bidi="ar"/>
        </w:rPr>
        <w:t xml:space="preserve">   </w:t>
      </w:r>
      <w:r>
        <w:rPr>
          <w:rFonts w:hint="eastAsia" w:cs="宋体"/>
          <w:szCs w:val="21"/>
          <w:lang w:bidi="ar"/>
        </w:rPr>
        <w:t xml:space="preserve">%（EPC）总承包管理费为 </w:t>
      </w:r>
      <w:r>
        <w:rPr>
          <w:rFonts w:hint="eastAsia" w:cs="宋体"/>
          <w:szCs w:val="21"/>
          <w:u w:val="single"/>
          <w:lang w:bidi="ar"/>
        </w:rPr>
        <w:t xml:space="preserve">    </w:t>
      </w:r>
      <w:r>
        <w:rPr>
          <w:rFonts w:hint="eastAsia" w:cs="宋体"/>
          <w:szCs w:val="21"/>
          <w:lang w:bidi="ar"/>
        </w:rPr>
        <w:t>方所得费用；本项目的施工费用按跟踪审计单位审核并经建设单位确认的结算值为准。</w:t>
      </w:r>
    </w:p>
    <w:p w14:paraId="2902995B">
      <w:pPr>
        <w:adjustRightInd w:val="0"/>
        <w:snapToGrid w:val="0"/>
        <w:ind w:firstLine="420" w:firstLineChars="200"/>
        <w:rPr>
          <w:rFonts w:cs="宋体"/>
          <w:szCs w:val="21"/>
        </w:rPr>
      </w:pPr>
      <w:r>
        <w:rPr>
          <w:rFonts w:hint="eastAsia" w:cs="宋体"/>
          <w:szCs w:val="21"/>
          <w:lang w:bidi="ar"/>
        </w:rPr>
        <w:t>3.工程变更部分的费用分配：变更费用中设计费由</w:t>
      </w:r>
      <w:r>
        <w:rPr>
          <w:rFonts w:hint="eastAsia" w:cs="宋体"/>
          <w:szCs w:val="21"/>
          <w:u w:val="single"/>
          <w:lang w:bidi="ar"/>
        </w:rPr>
        <w:t xml:space="preserve">   </w:t>
      </w:r>
      <w:r>
        <w:rPr>
          <w:rFonts w:hint="eastAsia" w:cs="宋体"/>
          <w:szCs w:val="21"/>
          <w:lang w:bidi="ar"/>
        </w:rPr>
        <w:t>方承担，施工费用的</w:t>
      </w:r>
      <w:r>
        <w:rPr>
          <w:rFonts w:hint="eastAsia" w:cs="宋体"/>
          <w:szCs w:val="21"/>
          <w:u w:val="single"/>
          <w:lang w:bidi="ar"/>
        </w:rPr>
        <w:t xml:space="preserve">     </w:t>
      </w:r>
      <w:r>
        <w:rPr>
          <w:rFonts w:hint="eastAsia" w:cs="宋体"/>
          <w:szCs w:val="21"/>
          <w:lang w:bidi="ar"/>
        </w:rPr>
        <w:t>%为</w:t>
      </w:r>
      <w:r>
        <w:rPr>
          <w:rFonts w:hint="eastAsia" w:cs="宋体"/>
          <w:szCs w:val="21"/>
          <w:u w:val="single"/>
          <w:lang w:bidi="ar"/>
        </w:rPr>
        <w:t xml:space="preserve">    </w:t>
      </w:r>
      <w:r>
        <w:rPr>
          <w:rFonts w:hint="eastAsia" w:cs="宋体"/>
          <w:szCs w:val="21"/>
          <w:lang w:bidi="ar"/>
        </w:rPr>
        <w:t>方所得费用，</w:t>
      </w:r>
      <w:r>
        <w:rPr>
          <w:rFonts w:hint="eastAsia" w:cs="宋体"/>
          <w:szCs w:val="21"/>
          <w:u w:val="single"/>
          <w:lang w:bidi="ar"/>
        </w:rPr>
        <w:t xml:space="preserve">     </w:t>
      </w:r>
      <w:r>
        <w:rPr>
          <w:rFonts w:hint="eastAsia" w:cs="宋体"/>
          <w:szCs w:val="21"/>
          <w:lang w:bidi="ar"/>
        </w:rPr>
        <w:t>%（EPC）总承包管理费为</w:t>
      </w:r>
      <w:r>
        <w:rPr>
          <w:rFonts w:hint="eastAsia" w:cs="宋体"/>
          <w:szCs w:val="21"/>
          <w:u w:val="single"/>
          <w:lang w:bidi="ar"/>
        </w:rPr>
        <w:t xml:space="preserve">   </w:t>
      </w:r>
      <w:r>
        <w:rPr>
          <w:rFonts w:hint="eastAsia" w:cs="宋体"/>
          <w:szCs w:val="21"/>
          <w:lang w:bidi="ar"/>
        </w:rPr>
        <w:t>方所得费用；设备材料采购费用由负责购买方所得。</w:t>
      </w:r>
    </w:p>
    <w:p w14:paraId="28FD0C84">
      <w:pPr>
        <w:adjustRightInd w:val="0"/>
        <w:snapToGrid w:val="0"/>
        <w:ind w:firstLine="420" w:firstLineChars="200"/>
        <w:rPr>
          <w:rFonts w:cs="宋体"/>
          <w:szCs w:val="21"/>
          <w:u w:val="single"/>
        </w:rPr>
      </w:pPr>
      <w:r>
        <w:rPr>
          <w:rFonts w:hint="eastAsia" w:cs="宋体"/>
          <w:szCs w:val="21"/>
          <w:lang w:bidi="ar"/>
        </w:rPr>
        <w:t>4.本协议承包范围内工程税金、应向政府有关部门缴纳的各种社会性费用、保险费用、民工工资保障金、本协议印花税等费用承担方式：</w:t>
      </w:r>
      <w:r>
        <w:rPr>
          <w:rFonts w:hint="eastAsia" w:cs="宋体"/>
          <w:szCs w:val="21"/>
          <w:u w:val="single"/>
          <w:lang w:bidi="ar"/>
        </w:rPr>
        <w:t xml:space="preserve">          </w:t>
      </w:r>
    </w:p>
    <w:p w14:paraId="1C496C31">
      <w:pPr>
        <w:adjustRightInd w:val="0"/>
        <w:snapToGrid w:val="0"/>
        <w:ind w:firstLine="420" w:firstLineChars="200"/>
        <w:rPr>
          <w:rFonts w:cs="宋体"/>
          <w:szCs w:val="21"/>
        </w:rPr>
      </w:pPr>
      <w:r>
        <w:rPr>
          <w:rFonts w:cs="宋体"/>
          <w:szCs w:val="21"/>
          <w:lang w:bidi="ar"/>
        </w:rPr>
        <w:t>5</w:t>
      </w:r>
      <w:r>
        <w:rPr>
          <w:rFonts w:hint="eastAsia" w:cs="宋体"/>
          <w:szCs w:val="21"/>
          <w:lang w:bidi="ar"/>
        </w:rPr>
        <w:t>.本项目的检验试验费用由</w:t>
      </w:r>
      <w:r>
        <w:rPr>
          <w:rFonts w:hint="eastAsia" w:cs="宋体"/>
          <w:szCs w:val="21"/>
          <w:u w:val="single"/>
          <w:lang w:bidi="ar"/>
        </w:rPr>
        <w:t xml:space="preserve">   </w:t>
      </w:r>
      <w:r>
        <w:rPr>
          <w:rFonts w:hint="eastAsia" w:cs="宋体"/>
          <w:szCs w:val="21"/>
          <w:lang w:bidi="ar"/>
        </w:rPr>
        <w:t>方承担。</w:t>
      </w:r>
    </w:p>
    <w:p w14:paraId="743EB986">
      <w:pPr>
        <w:adjustRightInd w:val="0"/>
        <w:snapToGrid w:val="0"/>
        <w:ind w:firstLine="420" w:firstLineChars="200"/>
        <w:rPr>
          <w:rFonts w:cs="宋体"/>
          <w:szCs w:val="21"/>
        </w:rPr>
      </w:pPr>
      <w:r>
        <w:rPr>
          <w:rFonts w:cs="宋体"/>
          <w:szCs w:val="21"/>
          <w:lang w:bidi="ar"/>
        </w:rPr>
        <w:t xml:space="preserve">6.本项目所需缴纳的预付款保函由 </w:t>
      </w:r>
      <w:r>
        <w:rPr>
          <w:rFonts w:cs="宋体"/>
          <w:szCs w:val="21"/>
          <w:u w:val="single"/>
          <w:lang w:bidi="ar"/>
        </w:rPr>
        <w:t xml:space="preserve">       </w:t>
      </w:r>
      <w:r>
        <w:rPr>
          <w:rFonts w:hint="eastAsia" w:cs="宋体"/>
          <w:szCs w:val="21"/>
          <w:lang w:bidi="ar"/>
        </w:rPr>
        <w:t>方提供，预付款归</w:t>
      </w:r>
      <w:r>
        <w:rPr>
          <w:rFonts w:cs="宋体"/>
          <w:szCs w:val="21"/>
          <w:lang w:bidi="ar"/>
        </w:rPr>
        <w:t xml:space="preserve"> </w:t>
      </w:r>
      <w:r>
        <w:rPr>
          <w:rFonts w:cs="宋体"/>
          <w:szCs w:val="21"/>
          <w:u w:val="single"/>
          <w:lang w:bidi="ar"/>
        </w:rPr>
        <w:t xml:space="preserve">    </w:t>
      </w:r>
      <w:r>
        <w:rPr>
          <w:rFonts w:hint="eastAsia" w:cs="宋体"/>
          <w:szCs w:val="21"/>
          <w:lang w:bidi="ar"/>
        </w:rPr>
        <w:t>方所得，预付款按主合同约定从</w:t>
      </w:r>
      <w:r>
        <w:rPr>
          <w:rFonts w:cs="宋体"/>
          <w:szCs w:val="21"/>
          <w:u w:val="single"/>
          <w:lang w:bidi="ar"/>
        </w:rPr>
        <w:t xml:space="preserve">     </w:t>
      </w:r>
      <w:r>
        <w:rPr>
          <w:rFonts w:hint="eastAsia" w:cs="宋体"/>
          <w:szCs w:val="21"/>
          <w:lang w:bidi="ar"/>
        </w:rPr>
        <w:t>方工程款中进行抵扣。</w:t>
      </w:r>
    </w:p>
    <w:p w14:paraId="6CBB6FE8">
      <w:pPr>
        <w:adjustRightInd w:val="0"/>
        <w:snapToGrid w:val="0"/>
        <w:ind w:firstLine="420" w:firstLineChars="200"/>
        <w:rPr>
          <w:rFonts w:cs="宋体"/>
          <w:szCs w:val="21"/>
        </w:rPr>
      </w:pPr>
      <w:r>
        <w:rPr>
          <w:rFonts w:cs="宋体"/>
          <w:szCs w:val="21"/>
          <w:lang w:bidi="ar"/>
        </w:rPr>
        <w:t>7</w:t>
      </w:r>
      <w:r>
        <w:rPr>
          <w:rFonts w:hint="eastAsia" w:cs="宋体"/>
          <w:szCs w:val="21"/>
          <w:lang w:bidi="ar"/>
        </w:rPr>
        <w:t>.项目创新目标实现所需要的费用及违约金由</w:t>
      </w:r>
      <w:r>
        <w:rPr>
          <w:rFonts w:hint="eastAsia"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分摊）。</w:t>
      </w:r>
    </w:p>
    <w:p w14:paraId="3ED26D2A">
      <w:pPr>
        <w:adjustRightInd w:val="0"/>
        <w:snapToGrid w:val="0"/>
        <w:ind w:firstLine="420" w:firstLineChars="200"/>
        <w:rPr>
          <w:rFonts w:cs="宋体"/>
          <w:szCs w:val="21"/>
          <w:lang w:bidi="ar"/>
        </w:rPr>
      </w:pPr>
      <w:r>
        <w:rPr>
          <w:rFonts w:cs="宋体"/>
          <w:szCs w:val="21"/>
          <w:lang w:bidi="ar"/>
        </w:rPr>
        <w:t>8</w:t>
      </w:r>
      <w:r>
        <w:rPr>
          <w:rFonts w:hint="eastAsia" w:cs="宋体"/>
          <w:szCs w:val="21"/>
          <w:lang w:bidi="ar"/>
        </w:rPr>
        <w:t>、创建泰山杯、鲁班奖的费用及违约金由</w:t>
      </w:r>
      <w:r>
        <w:rPr>
          <w:rFonts w:hint="eastAsia" w:cs="宋体"/>
          <w:szCs w:val="21"/>
          <w:u w:val="single"/>
          <w:lang w:bidi="ar"/>
        </w:rPr>
        <w:t xml:space="preserve"> </w:t>
      </w:r>
      <w:r>
        <w:rPr>
          <w:rFonts w:cs="宋体"/>
          <w:szCs w:val="21"/>
          <w:u w:val="single"/>
          <w:lang w:bidi="ar"/>
        </w:rPr>
        <w:t xml:space="preserve">  </w:t>
      </w:r>
      <w:r>
        <w:rPr>
          <w:rFonts w:hint="eastAsia"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分摊）；创建、申请二星级绿色建筑标识证书的费用及违约金由</w:t>
      </w:r>
      <w:r>
        <w:rPr>
          <w:rFonts w:hint="eastAsia" w:cs="宋体"/>
          <w:szCs w:val="21"/>
          <w:u w:val="single"/>
          <w:lang w:bidi="ar"/>
        </w:rPr>
        <w:t xml:space="preserve"> </w:t>
      </w:r>
      <w:r>
        <w:rPr>
          <w:rFonts w:cs="宋体"/>
          <w:szCs w:val="21"/>
          <w:u w:val="single"/>
          <w:lang w:bidi="ar"/>
        </w:rPr>
        <w:t xml:space="preserve">  </w:t>
      </w:r>
      <w:r>
        <w:rPr>
          <w:rFonts w:hint="eastAsia"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分摊）；智能制造能力成熟度论证费用及违约金由</w:t>
      </w:r>
      <w:r>
        <w:rPr>
          <w:rFonts w:hint="eastAsia"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分摊）；发生质量、安全事故的违约金由</w:t>
      </w:r>
      <w:r>
        <w:rPr>
          <w:rFonts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分摊）；效益审计费用由</w:t>
      </w:r>
      <w:r>
        <w:rPr>
          <w:rFonts w:hint="eastAsia" w:cs="宋体"/>
          <w:szCs w:val="21"/>
          <w:u w:val="single"/>
          <w:lang w:bidi="ar"/>
        </w:rPr>
        <w:t xml:space="preserve"> </w:t>
      </w:r>
      <w:r>
        <w:rPr>
          <w:rFonts w:cs="宋体"/>
          <w:szCs w:val="21"/>
          <w:u w:val="single"/>
          <w:lang w:bidi="ar"/>
        </w:rPr>
        <w:t xml:space="preserve">  </w:t>
      </w:r>
      <w:r>
        <w:rPr>
          <w:rFonts w:hint="eastAsia" w:cs="宋体"/>
          <w:szCs w:val="21"/>
          <w:u w:val="single"/>
          <w:lang w:bidi="ar"/>
        </w:rPr>
        <w:t xml:space="preserve"> </w:t>
      </w:r>
      <w:r>
        <w:rPr>
          <w:rFonts w:hint="eastAsia" w:cs="宋体"/>
          <w:szCs w:val="21"/>
          <w:lang w:bidi="ar"/>
        </w:rPr>
        <w:t>承担（或双方按</w:t>
      </w:r>
      <w:r>
        <w:rPr>
          <w:rFonts w:hint="eastAsia" w:cs="宋体"/>
          <w:szCs w:val="21"/>
          <w:u w:val="single"/>
          <w:lang w:bidi="ar"/>
        </w:rPr>
        <w:t xml:space="preserve">   </w:t>
      </w:r>
      <w:r>
        <w:rPr>
          <w:rFonts w:hint="eastAsia" w:cs="宋体"/>
          <w:szCs w:val="21"/>
          <w:lang w:bidi="ar"/>
        </w:rPr>
        <w:t xml:space="preserve">分摊）。 </w:t>
      </w:r>
    </w:p>
    <w:p w14:paraId="6F0A4466">
      <w:pPr>
        <w:pStyle w:val="44"/>
        <w:rPr>
          <w:lang w:bidi="ar"/>
        </w:rPr>
      </w:pPr>
      <w:r>
        <w:rPr>
          <w:rFonts w:ascii="宋体" w:hAnsi="宋体" w:eastAsia="宋体" w:cs="宋体"/>
          <w:szCs w:val="21"/>
          <w:lang w:bidi="ar"/>
        </w:rPr>
        <w:t>9</w:t>
      </w:r>
      <w:r>
        <w:rPr>
          <w:rFonts w:hint="eastAsia" w:ascii="宋体" w:hAnsi="宋体" w:eastAsia="宋体" w:cs="宋体"/>
          <w:szCs w:val="21"/>
          <w:lang w:bidi="ar"/>
        </w:rPr>
        <w:t>、</w:t>
      </w:r>
      <w:r>
        <w:rPr>
          <w:rFonts w:hint="eastAsia"/>
          <w:lang w:bidi="ar"/>
        </w:rPr>
        <w:t>联合体成员关于</w:t>
      </w:r>
      <w:r>
        <w:rPr>
          <w:rFonts w:hint="eastAsia"/>
          <w:szCs w:val="21"/>
        </w:rPr>
        <w:t>履约保函连带责任的约定：</w:t>
      </w:r>
      <w:r>
        <w:rPr>
          <w:rFonts w:hint="eastAsia" w:cs="宋体"/>
          <w:szCs w:val="21"/>
          <w:u w:val="single"/>
          <w:lang w:bidi="ar"/>
        </w:rPr>
        <w:t xml:space="preserve">          </w:t>
      </w:r>
    </w:p>
    <w:p w14:paraId="2F50862F">
      <w:pPr>
        <w:pStyle w:val="44"/>
        <w:rPr>
          <w:lang w:bidi="ar"/>
        </w:rPr>
      </w:pPr>
      <w:r>
        <w:rPr>
          <w:rFonts w:hint="eastAsia" w:cs="宋体"/>
          <w:b/>
          <w:szCs w:val="21"/>
          <w:lang w:bidi="ar"/>
        </w:rPr>
        <w:t xml:space="preserve">第四条 </w:t>
      </w:r>
      <w:r>
        <w:rPr>
          <w:rFonts w:cs="宋体"/>
          <w:b/>
          <w:szCs w:val="21"/>
          <w:lang w:bidi="ar"/>
        </w:rPr>
        <w:t xml:space="preserve"> </w:t>
      </w:r>
      <w:r>
        <w:rPr>
          <w:rFonts w:hint="eastAsia" w:cs="宋体"/>
          <w:b/>
          <w:szCs w:val="21"/>
          <w:lang w:bidi="ar"/>
        </w:rPr>
        <w:t>安全生产和现场环境综合管理</w:t>
      </w:r>
    </w:p>
    <w:p w14:paraId="61DB42DD">
      <w:pPr>
        <w:ind w:firstLine="422" w:firstLineChars="200"/>
        <w:rPr>
          <w:rFonts w:cs="宋体"/>
          <w:b/>
          <w:szCs w:val="21"/>
        </w:rPr>
      </w:pPr>
      <w:r>
        <w:rPr>
          <w:rFonts w:hint="eastAsia" w:cs="宋体"/>
          <w:b/>
          <w:szCs w:val="21"/>
          <w:lang w:bidi="ar"/>
        </w:rPr>
        <w:t>备注：投标人可自行拟定相关内容，但应包含以下有关内容：</w:t>
      </w:r>
    </w:p>
    <w:p w14:paraId="32D01891">
      <w:pPr>
        <w:ind w:firstLine="420" w:firstLineChars="200"/>
        <w:rPr>
          <w:rFonts w:cs="宋体"/>
          <w:szCs w:val="21"/>
        </w:rPr>
      </w:pPr>
      <w:r>
        <w:rPr>
          <w:rFonts w:hint="eastAsia" w:cs="宋体"/>
          <w:szCs w:val="21"/>
          <w:lang w:bidi="ar"/>
        </w:rPr>
        <w:t>1．安全生产目标：确保满足主合同对于安全生产的相关约定。</w:t>
      </w:r>
    </w:p>
    <w:p w14:paraId="5C39D165">
      <w:pPr>
        <w:ind w:firstLine="420" w:firstLineChars="200"/>
        <w:rPr>
          <w:rFonts w:cs="宋体"/>
          <w:szCs w:val="21"/>
        </w:rPr>
      </w:pPr>
      <w:r>
        <w:rPr>
          <w:rFonts w:hint="eastAsia" w:cs="宋体"/>
          <w:szCs w:val="21"/>
          <w:lang w:bidi="ar"/>
        </w:rPr>
        <w:t>2．双方必须认真贯彻政府行政主管部门关于安全生产、劳动保护和社会治安等有关法规、条例和规定，对施工范围内的安全生产、劳动保护和消防治安等全面负责。</w:t>
      </w:r>
    </w:p>
    <w:p w14:paraId="0A49C214">
      <w:pPr>
        <w:ind w:firstLine="420" w:firstLineChars="200"/>
        <w:rPr>
          <w:rFonts w:cs="宋体"/>
          <w:szCs w:val="21"/>
        </w:rPr>
      </w:pPr>
      <w:r>
        <w:rPr>
          <w:rFonts w:hint="eastAsia" w:cs="宋体"/>
          <w:szCs w:val="21"/>
          <w:lang w:bidi="ar"/>
        </w:rPr>
        <w:t>3.施工现场安全文明施工管理责任划分：</w:t>
      </w:r>
      <w:r>
        <w:rPr>
          <w:rFonts w:cs="宋体"/>
          <w:szCs w:val="21"/>
          <w:u w:val="single"/>
          <w:lang w:bidi="ar"/>
        </w:rPr>
        <w:t xml:space="preserve">                </w:t>
      </w:r>
      <w:r>
        <w:rPr>
          <w:rFonts w:hint="eastAsia" w:cs="宋体"/>
          <w:szCs w:val="21"/>
          <w:lang w:bidi="ar"/>
        </w:rPr>
        <w:t>。</w:t>
      </w:r>
    </w:p>
    <w:p w14:paraId="209E746C">
      <w:pPr>
        <w:ind w:firstLine="420" w:firstLineChars="200"/>
        <w:rPr>
          <w:rFonts w:cs="宋体"/>
          <w:szCs w:val="21"/>
        </w:rPr>
      </w:pPr>
      <w:r>
        <w:rPr>
          <w:rFonts w:hint="eastAsia" w:cs="宋体"/>
          <w:szCs w:val="21"/>
          <w:lang w:bidi="ar"/>
        </w:rPr>
        <w:t>4.安全生产和现场环境管理责任落实约定：</w:t>
      </w:r>
      <w:r>
        <w:rPr>
          <w:rFonts w:hint="eastAsia" w:cs="宋体"/>
          <w:szCs w:val="21"/>
          <w:u w:val="single"/>
          <w:lang w:bidi="ar"/>
        </w:rPr>
        <w:t xml:space="preserve"> </w:t>
      </w:r>
      <w:r>
        <w:rPr>
          <w:rFonts w:cs="宋体"/>
          <w:szCs w:val="21"/>
          <w:u w:val="single"/>
          <w:lang w:bidi="ar"/>
        </w:rPr>
        <w:t xml:space="preserve">               </w:t>
      </w:r>
      <w:r>
        <w:rPr>
          <w:rFonts w:hint="eastAsia" w:cs="宋体"/>
          <w:szCs w:val="21"/>
          <w:lang w:bidi="ar"/>
        </w:rPr>
        <w:t>。</w:t>
      </w:r>
    </w:p>
    <w:p w14:paraId="0535245B">
      <w:pPr>
        <w:ind w:firstLine="422" w:firstLineChars="200"/>
        <w:rPr>
          <w:rFonts w:cs="宋体"/>
          <w:b/>
          <w:szCs w:val="21"/>
        </w:rPr>
      </w:pPr>
      <w:r>
        <w:rPr>
          <w:rFonts w:hint="eastAsia" w:cs="宋体"/>
          <w:b/>
          <w:szCs w:val="21"/>
          <w:lang w:bidi="ar"/>
        </w:rPr>
        <w:t>第五条 风险分担</w:t>
      </w:r>
    </w:p>
    <w:p w14:paraId="634C8DAD">
      <w:pPr>
        <w:adjustRightInd w:val="0"/>
        <w:snapToGrid w:val="0"/>
        <w:ind w:firstLine="420" w:firstLineChars="200"/>
        <w:rPr>
          <w:rFonts w:cs="宋体"/>
          <w:szCs w:val="21"/>
        </w:rPr>
      </w:pPr>
    </w:p>
    <w:p w14:paraId="02238FEB">
      <w:pPr>
        <w:adjustRightInd w:val="0"/>
        <w:snapToGrid w:val="0"/>
        <w:ind w:firstLine="422" w:firstLineChars="200"/>
        <w:rPr>
          <w:rFonts w:cs="宋体"/>
          <w:szCs w:val="21"/>
        </w:rPr>
      </w:pPr>
      <w:r>
        <w:rPr>
          <w:rFonts w:hint="eastAsia" w:cs="宋体"/>
          <w:b/>
          <w:szCs w:val="21"/>
          <w:lang w:bidi="ar"/>
        </w:rPr>
        <w:t>备注：投标人可自行拟定相关约定，但应包含以下有关内容：</w:t>
      </w:r>
    </w:p>
    <w:p w14:paraId="0CF1B612">
      <w:pPr>
        <w:adjustRightInd w:val="0"/>
        <w:snapToGrid w:val="0"/>
        <w:ind w:firstLine="420" w:firstLineChars="200"/>
        <w:rPr>
          <w:rFonts w:cs="宋体"/>
          <w:szCs w:val="21"/>
        </w:rPr>
      </w:pPr>
      <w:r>
        <w:rPr>
          <w:rFonts w:hint="eastAsia" w:cs="宋体"/>
          <w:szCs w:val="21"/>
          <w:lang w:bidi="ar"/>
        </w:rPr>
        <w:t>1.甲乙双方在设计阶段应保持密切沟通，乙方应对甲方设计图纸和投标报价进行详细审核，共同控制本项目的投资。在投标阶段，</w:t>
      </w:r>
      <w:r>
        <w:rPr>
          <w:rFonts w:hint="eastAsia" w:cs="宋体"/>
          <w:szCs w:val="21"/>
          <w:u w:val="single"/>
          <w:lang w:bidi="ar"/>
        </w:rPr>
        <w:t xml:space="preserve">   </w:t>
      </w:r>
      <w:r>
        <w:rPr>
          <w:rFonts w:hint="eastAsia" w:cs="宋体"/>
          <w:szCs w:val="21"/>
          <w:lang w:bidi="ar"/>
        </w:rPr>
        <w:t>方负责图纸设计，</w:t>
      </w:r>
      <w:r>
        <w:rPr>
          <w:rFonts w:hint="eastAsia" w:cs="宋体"/>
          <w:szCs w:val="21"/>
          <w:u w:val="single"/>
          <w:lang w:bidi="ar"/>
        </w:rPr>
        <w:t xml:space="preserve">   </w:t>
      </w:r>
      <w:r>
        <w:rPr>
          <w:rFonts w:hint="eastAsia" w:cs="宋体"/>
          <w:szCs w:val="21"/>
          <w:lang w:bidi="ar"/>
        </w:rPr>
        <w:t>方负责编制施工图预算并负责施工图预算的完整性，乙方应对施工图和报价的合理性、准确性进行审核，在审核完毕后出具施工图设计和投标报价审核确认书（见附录）。签订合同施工图设计和预算报审阶段，乙方应对施工图设计和预算的合理性、准确性共同负责，审核出具施工图设计和投标报价审核确认书（见附录）。若经跟踪审计单位和建设单位审定施工费用和结算总价高于本项目总价，超出部分由</w:t>
      </w:r>
      <w:r>
        <w:rPr>
          <w:rFonts w:hint="eastAsia" w:cs="宋体"/>
          <w:szCs w:val="21"/>
          <w:u w:val="single"/>
          <w:lang w:bidi="ar"/>
        </w:rPr>
        <w:t xml:space="preserve"> </w:t>
      </w:r>
      <w:r>
        <w:rPr>
          <w:rFonts w:cs="宋体"/>
          <w:szCs w:val="21"/>
          <w:u w:val="single"/>
          <w:lang w:bidi="ar"/>
        </w:rPr>
        <w:t xml:space="preserve"> </w:t>
      </w:r>
      <w:r>
        <w:rPr>
          <w:rFonts w:hint="eastAsia" w:cs="宋体"/>
          <w:szCs w:val="21"/>
          <w:u w:val="single"/>
          <w:lang w:bidi="ar"/>
        </w:rPr>
        <w:t xml:space="preserve"> </w:t>
      </w:r>
      <w:r>
        <w:rPr>
          <w:rFonts w:hint="eastAsia" w:cs="宋体"/>
          <w:szCs w:val="21"/>
          <w:lang w:bidi="ar"/>
        </w:rPr>
        <w:t>方承担。</w:t>
      </w:r>
    </w:p>
    <w:p w14:paraId="2C8A48E5">
      <w:pPr>
        <w:adjustRightInd w:val="0"/>
        <w:snapToGrid w:val="0"/>
        <w:ind w:firstLine="420" w:firstLineChars="200"/>
        <w:rPr>
          <w:rFonts w:cs="宋体"/>
          <w:szCs w:val="21"/>
          <w:lang w:bidi="ar"/>
        </w:rPr>
      </w:pPr>
      <w:r>
        <w:rPr>
          <w:rFonts w:hint="eastAsia" w:cs="宋体"/>
          <w:szCs w:val="21"/>
          <w:lang w:bidi="ar"/>
        </w:rPr>
        <w:t>2.对于自身原因造成的风险责任约定：</w:t>
      </w:r>
      <w:r>
        <w:rPr>
          <w:rFonts w:hint="eastAsia" w:cs="宋体"/>
          <w:szCs w:val="21"/>
          <w:u w:val="single"/>
          <w:lang w:bidi="ar"/>
        </w:rPr>
        <w:t xml:space="preserve">           </w:t>
      </w:r>
      <w:r>
        <w:rPr>
          <w:rFonts w:hint="eastAsia" w:cs="宋体"/>
          <w:szCs w:val="21"/>
          <w:lang w:bidi="ar"/>
        </w:rPr>
        <w:t>。</w:t>
      </w:r>
    </w:p>
    <w:p w14:paraId="0BB93C17">
      <w:pPr>
        <w:adjustRightInd w:val="0"/>
        <w:snapToGrid w:val="0"/>
        <w:ind w:firstLine="420" w:firstLineChars="200"/>
        <w:rPr>
          <w:rFonts w:cs="宋体"/>
          <w:szCs w:val="21"/>
        </w:rPr>
      </w:pPr>
      <w:r>
        <w:rPr>
          <w:rFonts w:cs="宋体"/>
          <w:szCs w:val="21"/>
          <w:lang w:bidi="ar"/>
        </w:rPr>
        <w:t>3.</w:t>
      </w:r>
      <w:r>
        <w:rPr>
          <w:rFonts w:hint="eastAsia" w:cs="宋体"/>
          <w:szCs w:val="21"/>
          <w:lang w:bidi="ar"/>
        </w:rPr>
        <w:t>对于分包给第三方承包的风险责任约定：</w:t>
      </w:r>
      <w:r>
        <w:rPr>
          <w:rFonts w:hint="eastAsia" w:cs="宋体"/>
          <w:szCs w:val="21"/>
          <w:u w:val="single"/>
          <w:lang w:bidi="ar"/>
        </w:rPr>
        <w:t xml:space="preserve">           </w:t>
      </w:r>
      <w:r>
        <w:rPr>
          <w:rFonts w:hint="eastAsia" w:cs="宋体"/>
          <w:szCs w:val="21"/>
          <w:lang w:bidi="ar"/>
        </w:rPr>
        <w:t>。</w:t>
      </w:r>
    </w:p>
    <w:p w14:paraId="2EA93C07">
      <w:pPr>
        <w:adjustRightInd w:val="0"/>
        <w:snapToGrid w:val="0"/>
        <w:ind w:firstLine="420" w:firstLineChars="200"/>
        <w:rPr>
          <w:rFonts w:cs="宋体"/>
          <w:szCs w:val="21"/>
        </w:rPr>
      </w:pPr>
      <w:r>
        <w:rPr>
          <w:rFonts w:cs="宋体"/>
          <w:szCs w:val="21"/>
          <w:lang w:bidi="ar"/>
        </w:rPr>
        <w:t>4</w:t>
      </w:r>
      <w:r>
        <w:rPr>
          <w:rFonts w:hint="eastAsia" w:cs="宋体"/>
          <w:szCs w:val="21"/>
          <w:lang w:bidi="ar"/>
        </w:rPr>
        <w:t>.双方在签订本协议时，视为已充分了解并清楚主合同中所约定的全部工作内容以及应承担的责任、义务及项目实施风险，在项目实施过程中，本项目质量、工期、安全、文明施工、环保未满足主合同约定及因各种违章造成的损失根据主合同及本协议约定由责任方全部承担。</w:t>
      </w:r>
    </w:p>
    <w:p w14:paraId="29F7013F">
      <w:pPr>
        <w:adjustRightInd w:val="0"/>
        <w:snapToGrid w:val="0"/>
        <w:ind w:firstLine="420" w:firstLineChars="200"/>
        <w:jc w:val="left"/>
        <w:rPr>
          <w:rFonts w:cs="Courier New"/>
          <w:b/>
          <w:szCs w:val="21"/>
          <w:u w:val="single"/>
        </w:rPr>
      </w:pPr>
      <w:r>
        <w:rPr>
          <w:rFonts w:cs="宋体"/>
          <w:szCs w:val="21"/>
          <w:lang w:bidi="ar"/>
        </w:rPr>
        <w:t>5</w:t>
      </w:r>
      <w:r>
        <w:rPr>
          <w:rFonts w:hint="eastAsia" w:cs="宋体"/>
          <w:szCs w:val="21"/>
          <w:lang w:bidi="ar"/>
        </w:rPr>
        <w:t>.建设单位后审计问题项整改需要退回的相关工程款承担方式的约定：</w:t>
      </w:r>
      <w:r>
        <w:rPr>
          <w:rFonts w:hint="eastAsia" w:cs="宋体"/>
          <w:szCs w:val="21"/>
          <w:u w:val="single"/>
          <w:lang w:bidi="ar"/>
        </w:rPr>
        <w:t xml:space="preserve">           </w:t>
      </w:r>
      <w:r>
        <w:rPr>
          <w:rFonts w:hint="eastAsia" w:cs="宋体"/>
          <w:szCs w:val="21"/>
          <w:lang w:bidi="ar"/>
        </w:rPr>
        <w:t>。</w:t>
      </w:r>
    </w:p>
    <w:p w14:paraId="24DCC00A">
      <w:pPr>
        <w:ind w:firstLine="420" w:firstLineChars="200"/>
        <w:rPr>
          <w:rFonts w:cs="宋体"/>
          <w:szCs w:val="21"/>
        </w:rPr>
      </w:pPr>
      <w:r>
        <w:rPr>
          <w:rFonts w:cs="宋体"/>
          <w:szCs w:val="21"/>
          <w:lang w:bidi="ar"/>
        </w:rPr>
        <w:t>6.</w:t>
      </w:r>
      <w:r>
        <w:rPr>
          <w:rFonts w:hint="eastAsia" w:cs="宋体"/>
          <w:szCs w:val="21"/>
          <w:lang w:bidi="ar"/>
        </w:rPr>
        <w:t>在施工过程中经检验达不到主合同约定的质量标准或未通过验收规范要求，由责任方负责整改至达到本协议约定的合格标准。由此造成返工的一切损失均应由责任方自行承担。</w:t>
      </w:r>
    </w:p>
    <w:p w14:paraId="30B9D971">
      <w:pPr>
        <w:ind w:firstLine="420" w:firstLineChars="200"/>
        <w:rPr>
          <w:rFonts w:cs="宋体"/>
          <w:szCs w:val="21"/>
        </w:rPr>
      </w:pPr>
      <w:r>
        <w:rPr>
          <w:rFonts w:cs="宋体"/>
          <w:szCs w:val="21"/>
          <w:lang w:bidi="ar"/>
        </w:rPr>
        <w:t>7.</w:t>
      </w:r>
      <w:r>
        <w:rPr>
          <w:rFonts w:hint="eastAsia" w:cs="宋体"/>
          <w:szCs w:val="21"/>
          <w:lang w:bidi="ar"/>
        </w:rPr>
        <w:t>本协议签订后，乙方不能因为市场风险、政策性调整风险和工程预算中失误及人员组织安排失误的影响为由擅自停工或拖延工期。如有以上情况发生，延误工期每拖延一天，按主合同中的相应条款进行处罚。</w:t>
      </w:r>
    </w:p>
    <w:p w14:paraId="453C3AA4">
      <w:pPr>
        <w:ind w:firstLine="422" w:firstLineChars="200"/>
        <w:rPr>
          <w:rFonts w:cs="宋体"/>
          <w:b/>
          <w:szCs w:val="21"/>
        </w:rPr>
      </w:pPr>
      <w:r>
        <w:rPr>
          <w:rFonts w:hint="eastAsia" w:cs="宋体"/>
          <w:b/>
          <w:szCs w:val="21"/>
          <w:lang w:bidi="ar"/>
        </w:rPr>
        <w:t>第六条 争议解决</w:t>
      </w:r>
    </w:p>
    <w:p w14:paraId="4C012B35">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5DA3EAB3">
      <w:pPr>
        <w:ind w:firstLine="422" w:firstLineChars="200"/>
        <w:rPr>
          <w:rFonts w:cs="宋体"/>
          <w:b/>
          <w:szCs w:val="21"/>
        </w:rPr>
      </w:pPr>
      <w:r>
        <w:rPr>
          <w:rFonts w:hint="eastAsia" w:cs="宋体"/>
          <w:b/>
          <w:szCs w:val="21"/>
          <w:lang w:bidi="ar"/>
        </w:rPr>
        <w:t>备注：投标人可自行拟定相关内容，但应包含以下有关内容：</w:t>
      </w:r>
    </w:p>
    <w:p w14:paraId="7B6185D7">
      <w:pPr>
        <w:ind w:firstLine="420" w:firstLineChars="200"/>
        <w:rPr>
          <w:rFonts w:cs="宋体"/>
          <w:szCs w:val="21"/>
        </w:rPr>
      </w:pPr>
      <w:r>
        <w:rPr>
          <w:rFonts w:hint="eastAsia" w:cs="宋体"/>
          <w:szCs w:val="21"/>
          <w:lang w:bidi="ar"/>
        </w:rPr>
        <w:t>1.各方应本着合作共赢、互惠互利的原则，妥善解决各方分歧，不得出现停工、停产等情形，不得妨碍工程进度、质量，不得影响建设单位的生产经营。一旦出现此类情形，相关违约责任由责任方承担。</w:t>
      </w:r>
    </w:p>
    <w:p w14:paraId="6044ADFA">
      <w:pPr>
        <w:ind w:firstLine="422" w:firstLineChars="200"/>
        <w:rPr>
          <w:rFonts w:cs="宋体"/>
          <w:b/>
          <w:szCs w:val="21"/>
        </w:rPr>
      </w:pPr>
      <w:r>
        <w:rPr>
          <w:rFonts w:hint="eastAsia" w:cs="宋体"/>
          <w:b/>
          <w:szCs w:val="21"/>
          <w:lang w:bidi="ar"/>
        </w:rPr>
        <w:t>第七条 其他：</w:t>
      </w:r>
    </w:p>
    <w:p w14:paraId="2D44BCFA">
      <w:pPr>
        <w:adjustRightInd w:val="0"/>
        <w:snapToGrid w:val="0"/>
        <w:ind w:firstLine="422" w:firstLineChars="200"/>
        <w:rPr>
          <w:rFonts w:cs="Courier New"/>
          <w:b/>
          <w:szCs w:val="21"/>
          <w:u w:val="single"/>
        </w:rPr>
      </w:pPr>
      <w:r>
        <w:rPr>
          <w:rFonts w:hint="eastAsia" w:cs="Courier New"/>
          <w:b/>
          <w:szCs w:val="21"/>
          <w:u w:val="single"/>
          <w:lang w:bidi="ar"/>
        </w:rPr>
        <w:t xml:space="preserve">                      </w:t>
      </w:r>
    </w:p>
    <w:p w14:paraId="31D43889">
      <w:pPr>
        <w:ind w:firstLine="422" w:firstLineChars="200"/>
        <w:rPr>
          <w:rFonts w:cs="宋体"/>
          <w:b/>
          <w:szCs w:val="21"/>
        </w:rPr>
      </w:pPr>
      <w:r>
        <w:rPr>
          <w:rFonts w:hint="eastAsia" w:cs="宋体"/>
          <w:b/>
          <w:szCs w:val="21"/>
          <w:lang w:bidi="ar"/>
        </w:rPr>
        <w:t>备注：投标人可自行拟定相关内容，但应包含以下有关内容：</w:t>
      </w:r>
    </w:p>
    <w:p w14:paraId="555665E3">
      <w:pPr>
        <w:ind w:firstLine="420" w:firstLineChars="200"/>
        <w:rPr>
          <w:rFonts w:cs="宋体"/>
          <w:szCs w:val="21"/>
        </w:rPr>
      </w:pPr>
      <w:r>
        <w:rPr>
          <w:rFonts w:hint="eastAsia" w:cs="宋体"/>
          <w:szCs w:val="21"/>
          <w:lang w:bidi="ar"/>
        </w:rPr>
        <w:t>1．本协议在执行中未定事宜均按主合同相关约定执行。</w:t>
      </w:r>
    </w:p>
    <w:p w14:paraId="1BA13A42">
      <w:pPr>
        <w:ind w:firstLine="420" w:firstLineChars="200"/>
        <w:rPr>
          <w:rFonts w:cs="宋体"/>
          <w:szCs w:val="21"/>
        </w:rPr>
      </w:pPr>
      <w:r>
        <w:rPr>
          <w:rFonts w:hint="eastAsia" w:cs="宋体"/>
          <w:szCs w:val="21"/>
          <w:lang w:bidi="ar"/>
        </w:rPr>
        <w:t>2．本协议中使用的词语或术语，在本协议中未作特别约定的，应具有主合同中赋予的含义。</w:t>
      </w:r>
    </w:p>
    <w:p w14:paraId="08CC5525">
      <w:pPr>
        <w:ind w:firstLine="420" w:firstLineChars="200"/>
        <w:rPr>
          <w:rFonts w:cs="宋体"/>
          <w:szCs w:val="21"/>
        </w:rPr>
      </w:pPr>
      <w:r>
        <w:rPr>
          <w:rFonts w:hint="eastAsia" w:cs="宋体"/>
          <w:szCs w:val="21"/>
          <w:lang w:bidi="ar"/>
        </w:rPr>
        <w:t>3．本协议自双方法定代表人或委托代理人签字（或盖章）并加盖合同专用章（或公章）之日起生效。</w:t>
      </w:r>
    </w:p>
    <w:p w14:paraId="07613283">
      <w:pPr>
        <w:ind w:firstLine="420" w:firstLineChars="200"/>
        <w:rPr>
          <w:rFonts w:cs="宋体"/>
          <w:szCs w:val="21"/>
        </w:rPr>
      </w:pPr>
      <w:r>
        <w:rPr>
          <w:rFonts w:hint="eastAsia" w:cs="宋体"/>
          <w:szCs w:val="21"/>
          <w:lang w:bidi="ar"/>
        </w:rPr>
        <w:t>4．本协议一式叁份，甲乙双方各执壹份，建设单位执壹份。</w:t>
      </w:r>
    </w:p>
    <w:p w14:paraId="469FF145">
      <w:pPr>
        <w:ind w:firstLine="422" w:firstLineChars="200"/>
        <w:rPr>
          <w:rFonts w:cs="宋体"/>
          <w:b/>
          <w:szCs w:val="21"/>
        </w:rPr>
      </w:pPr>
    </w:p>
    <w:tbl>
      <w:tblPr>
        <w:tblStyle w:val="46"/>
        <w:tblpPr w:leftFromText="180" w:rightFromText="180" w:vertAnchor="text" w:horzAnchor="margin" w:tblpY="346"/>
        <w:tblW w:w="8895" w:type="dxa"/>
        <w:tblInd w:w="0" w:type="dxa"/>
        <w:tblLayout w:type="fixed"/>
        <w:tblCellMar>
          <w:top w:w="0" w:type="dxa"/>
          <w:left w:w="108" w:type="dxa"/>
          <w:bottom w:w="0" w:type="dxa"/>
          <w:right w:w="108" w:type="dxa"/>
        </w:tblCellMar>
      </w:tblPr>
      <w:tblGrid>
        <w:gridCol w:w="4502"/>
        <w:gridCol w:w="4393"/>
      </w:tblGrid>
      <w:tr w14:paraId="2A39CF94">
        <w:tblPrEx>
          <w:tblCellMar>
            <w:top w:w="0" w:type="dxa"/>
            <w:left w:w="108" w:type="dxa"/>
            <w:bottom w:w="0" w:type="dxa"/>
            <w:right w:w="108" w:type="dxa"/>
          </w:tblCellMar>
        </w:tblPrEx>
        <w:trPr>
          <w:trHeight w:val="3628" w:hRule="atLeast"/>
        </w:trPr>
        <w:tc>
          <w:tcPr>
            <w:tcW w:w="4503" w:type="dxa"/>
            <w:shd w:val="clear" w:color="auto" w:fill="auto"/>
          </w:tcPr>
          <w:p w14:paraId="29C3378A">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甲方/联合体牵头人：（盖章）</w:t>
            </w:r>
          </w:p>
          <w:p w14:paraId="7361313E">
            <w:pPr>
              <w:keepNext w:val="0"/>
              <w:keepLines w:val="0"/>
              <w:widowControl/>
              <w:suppressLineNumbers w:val="0"/>
              <w:adjustRightInd w:val="0"/>
              <w:snapToGrid w:val="0"/>
              <w:spacing w:before="0" w:beforeAutospacing="0" w:after="50" w:afterAutospacing="0"/>
              <w:ind w:left="0" w:right="0"/>
              <w:jc w:val="left"/>
              <w:rPr>
                <w:rFonts w:hint="default" w:cs="宋体"/>
                <w:szCs w:val="21"/>
              </w:rPr>
            </w:pPr>
          </w:p>
          <w:p w14:paraId="4FB7D7A3">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法定代表人或其委托代理人：</w:t>
            </w:r>
          </w:p>
          <w:p w14:paraId="11EDD70C">
            <w:pPr>
              <w:keepNext w:val="0"/>
              <w:keepLines w:val="0"/>
              <w:widowControl/>
              <w:suppressLineNumbers w:val="0"/>
              <w:adjustRightInd w:val="0"/>
              <w:snapToGrid w:val="0"/>
              <w:spacing w:before="0" w:beforeAutospacing="0" w:after="50" w:afterAutospacing="0"/>
              <w:ind w:left="0" w:right="0"/>
              <w:rPr>
                <w:rFonts w:hint="default" w:cs="宋体"/>
                <w:szCs w:val="21"/>
              </w:rPr>
            </w:pPr>
            <w:r>
              <w:rPr>
                <w:rFonts w:hint="eastAsia" w:cs="宋体"/>
                <w:szCs w:val="21"/>
                <w:lang w:bidi="ar"/>
              </w:rPr>
              <w:t>经办人：</w:t>
            </w:r>
          </w:p>
          <w:p w14:paraId="13E577DF">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 xml:space="preserve">地址： </w:t>
            </w:r>
          </w:p>
          <w:p w14:paraId="6D967BAE">
            <w:pPr>
              <w:keepNext w:val="0"/>
              <w:keepLines w:val="0"/>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电话：</w:t>
            </w:r>
          </w:p>
        </w:tc>
        <w:tc>
          <w:tcPr>
            <w:tcW w:w="4394" w:type="dxa"/>
            <w:shd w:val="clear" w:color="auto" w:fill="auto"/>
          </w:tcPr>
          <w:p w14:paraId="78057FDF">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乙方/联合体成员：（盖章）</w:t>
            </w:r>
          </w:p>
          <w:p w14:paraId="27058E07">
            <w:pPr>
              <w:keepNext w:val="0"/>
              <w:keepLines w:val="0"/>
              <w:widowControl/>
              <w:suppressLineNumbers w:val="0"/>
              <w:adjustRightInd w:val="0"/>
              <w:snapToGrid w:val="0"/>
              <w:spacing w:before="0" w:beforeAutospacing="0" w:after="50" w:afterAutospacing="0"/>
              <w:ind w:left="0" w:right="0"/>
              <w:jc w:val="left"/>
              <w:rPr>
                <w:rFonts w:hint="default" w:cs="宋体"/>
                <w:szCs w:val="21"/>
              </w:rPr>
            </w:pPr>
          </w:p>
          <w:p w14:paraId="2A16EF5A">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法定代表人或其委托代理人：</w:t>
            </w:r>
          </w:p>
          <w:p w14:paraId="5027C4C9">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经办人：</w:t>
            </w:r>
          </w:p>
          <w:p w14:paraId="475332AE">
            <w:pPr>
              <w:keepNext w:val="0"/>
              <w:keepLines w:val="0"/>
              <w:widowControl/>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地址：</w:t>
            </w:r>
          </w:p>
          <w:p w14:paraId="00F30F5C">
            <w:pPr>
              <w:keepNext w:val="0"/>
              <w:keepLines w:val="0"/>
              <w:suppressLineNumbers w:val="0"/>
              <w:adjustRightInd w:val="0"/>
              <w:snapToGrid w:val="0"/>
              <w:spacing w:before="0" w:beforeAutospacing="0" w:after="50" w:afterAutospacing="0"/>
              <w:ind w:left="0" w:right="0"/>
              <w:jc w:val="left"/>
              <w:rPr>
                <w:rFonts w:hint="default" w:cs="宋体"/>
                <w:szCs w:val="21"/>
              </w:rPr>
            </w:pPr>
            <w:r>
              <w:rPr>
                <w:rFonts w:hint="eastAsia" w:cs="宋体"/>
                <w:szCs w:val="21"/>
                <w:lang w:bidi="ar"/>
              </w:rPr>
              <w:t>电话：</w:t>
            </w:r>
          </w:p>
        </w:tc>
      </w:tr>
    </w:tbl>
    <w:p w14:paraId="3D2CB6CD">
      <w:pPr>
        <w:jc w:val="left"/>
        <w:rPr>
          <w:rFonts w:cs="宋体"/>
          <w:b/>
          <w:szCs w:val="21"/>
        </w:rPr>
      </w:pPr>
    </w:p>
    <w:p w14:paraId="2BE096AE">
      <w:pPr>
        <w:jc w:val="right"/>
      </w:pPr>
      <w:r>
        <w:rPr>
          <w:rFonts w:hint="eastAsia"/>
          <w:b/>
          <w:sz w:val="28"/>
          <w:lang w:bidi="ar"/>
        </w:rPr>
        <w:br w:type="page"/>
      </w:r>
    </w:p>
    <w:p w14:paraId="4156ABAE">
      <w:pPr>
        <w:pStyle w:val="3"/>
        <w:keepNext/>
        <w:keepLines/>
        <w:tabs>
          <w:tab w:val="clear" w:pos="425"/>
          <w:tab w:val="clear" w:pos="851"/>
        </w:tabs>
        <w:spacing w:before="260" w:after="260"/>
        <w:jc w:val="center"/>
        <w:rPr>
          <w:rFonts w:ascii="黑体" w:hAnsi="黑体" w:eastAsia="黑体"/>
          <w:sz w:val="32"/>
          <w:szCs w:val="44"/>
        </w:rPr>
      </w:pPr>
      <w:bookmarkStart w:id="465" w:name="_Toc115196121"/>
      <w:bookmarkStart w:id="466" w:name="_Toc152045795"/>
      <w:bookmarkStart w:id="467" w:name="_Toc247514287"/>
      <w:bookmarkStart w:id="468" w:name="_Toc144974863"/>
      <w:bookmarkStart w:id="469" w:name="_Toc152042584"/>
      <w:bookmarkStart w:id="470" w:name="_Toc247527835"/>
      <w:bookmarkStart w:id="471" w:name="_Toc61968489"/>
      <w:r>
        <w:rPr>
          <w:rFonts w:hint="eastAsia" w:ascii="黑体" w:hAnsi="黑体" w:eastAsia="黑体"/>
          <w:sz w:val="32"/>
          <w:szCs w:val="44"/>
        </w:rPr>
        <w:t>五、投标报价价格清单格式及要求</w:t>
      </w:r>
      <w:bookmarkEnd w:id="465"/>
    </w:p>
    <w:p w14:paraId="207941E8">
      <w:pPr>
        <w:jc w:val="center"/>
        <w:rPr>
          <w:rFonts w:ascii="黑体" w:hAnsi="黑体" w:eastAsia="黑体"/>
          <w:b/>
          <w:sz w:val="28"/>
          <w:szCs w:val="28"/>
        </w:rPr>
      </w:pPr>
      <w:r>
        <w:rPr>
          <w:rFonts w:hint="eastAsia" w:ascii="黑体" w:hAnsi="黑体" w:eastAsia="黑体"/>
          <w:b/>
          <w:sz w:val="28"/>
          <w:szCs w:val="28"/>
        </w:rPr>
        <w:t>开标一览表</w:t>
      </w:r>
    </w:p>
    <w:tbl>
      <w:tblPr>
        <w:tblStyle w:val="4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138"/>
        <w:gridCol w:w="2051"/>
        <w:gridCol w:w="1358"/>
        <w:gridCol w:w="1667"/>
      </w:tblGrid>
      <w:tr w14:paraId="361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3692" w:type="dxa"/>
            <w:gridSpan w:val="2"/>
            <w:vAlign w:val="center"/>
          </w:tcPr>
          <w:p w14:paraId="2D543856">
            <w:pPr>
              <w:pStyle w:val="15"/>
              <w:keepNext w:val="0"/>
              <w:keepLines w:val="0"/>
              <w:suppressLineNumbers w:val="0"/>
              <w:adjustRightInd w:val="0"/>
              <w:snapToGrid w:val="0"/>
              <w:spacing w:before="93" w:beforeLines="30" w:beforeAutospacing="0" w:after="0" w:afterAutospacing="0"/>
              <w:ind w:left="0" w:right="0"/>
              <w:jc w:val="center"/>
              <w:rPr>
                <w:rFonts w:hint="default" w:cs="Times New Roman" w:asciiTheme="minorEastAsia" w:hAnsiTheme="minorEastAsia" w:eastAsiaTheme="minorEastAsia"/>
                <w:sz w:val="21"/>
                <w:szCs w:val="21"/>
              </w:rPr>
            </w:pPr>
            <w:r>
              <w:rPr>
                <w:rFonts w:hint="eastAsia" w:cs="仿宋" w:asciiTheme="minorEastAsia" w:hAnsiTheme="minorEastAsia" w:eastAsiaTheme="minorEastAsia"/>
                <w:sz w:val="21"/>
                <w:szCs w:val="21"/>
              </w:rPr>
              <w:t>项目名称</w:t>
            </w:r>
          </w:p>
        </w:tc>
        <w:tc>
          <w:tcPr>
            <w:tcW w:w="2051" w:type="dxa"/>
            <w:vAlign w:val="center"/>
          </w:tcPr>
          <w:p w14:paraId="29C4BEFC">
            <w:pPr>
              <w:pStyle w:val="15"/>
              <w:keepNext w:val="0"/>
              <w:keepLines w:val="0"/>
              <w:suppressLineNumbers w:val="0"/>
              <w:adjustRightInd w:val="0"/>
              <w:snapToGrid w:val="0"/>
              <w:spacing w:before="93" w:beforeLines="30" w:beforeAutospacing="0" w:after="0" w:afterAutospacing="0"/>
              <w:ind w:left="0" w:right="0"/>
              <w:rPr>
                <w:rFonts w:hint="default" w:cs="Times New Roman" w:asciiTheme="minorEastAsia" w:hAnsiTheme="minorEastAsia" w:eastAsiaTheme="minorEastAsia"/>
                <w:sz w:val="21"/>
                <w:szCs w:val="21"/>
              </w:rPr>
            </w:pPr>
          </w:p>
        </w:tc>
        <w:tc>
          <w:tcPr>
            <w:tcW w:w="1358" w:type="dxa"/>
            <w:vAlign w:val="center"/>
          </w:tcPr>
          <w:p w14:paraId="6A307EB5">
            <w:pPr>
              <w:pStyle w:val="15"/>
              <w:keepNext w:val="0"/>
              <w:keepLines w:val="0"/>
              <w:suppressLineNumbers w:val="0"/>
              <w:adjustRightInd w:val="0"/>
              <w:snapToGrid w:val="0"/>
              <w:spacing w:before="93" w:beforeLines="30" w:beforeAutospacing="0" w:after="0" w:afterAutospacing="0"/>
              <w:ind w:left="0" w:right="0"/>
              <w:jc w:val="center"/>
              <w:rPr>
                <w:rFonts w:hint="default" w:cs="Times New Roman" w:asciiTheme="minorEastAsia" w:hAnsiTheme="minorEastAsia" w:eastAsiaTheme="minorEastAsia"/>
                <w:sz w:val="21"/>
                <w:szCs w:val="21"/>
              </w:rPr>
            </w:pPr>
            <w:r>
              <w:rPr>
                <w:rFonts w:hint="eastAsia" w:cs="仿宋" w:asciiTheme="minorEastAsia" w:hAnsiTheme="minorEastAsia" w:eastAsiaTheme="minorEastAsia"/>
                <w:sz w:val="21"/>
                <w:szCs w:val="21"/>
              </w:rPr>
              <w:t>项目编号</w:t>
            </w:r>
          </w:p>
        </w:tc>
        <w:tc>
          <w:tcPr>
            <w:tcW w:w="1667" w:type="dxa"/>
            <w:vAlign w:val="center"/>
          </w:tcPr>
          <w:p w14:paraId="55E2A9B9">
            <w:pPr>
              <w:pStyle w:val="15"/>
              <w:keepNext w:val="0"/>
              <w:keepLines w:val="0"/>
              <w:suppressLineNumbers w:val="0"/>
              <w:adjustRightInd w:val="0"/>
              <w:snapToGrid w:val="0"/>
              <w:spacing w:before="93" w:beforeLines="30" w:beforeAutospacing="0" w:after="0" w:afterAutospacing="0"/>
              <w:ind w:left="0" w:right="0"/>
              <w:rPr>
                <w:rFonts w:hint="default" w:cs="Times New Roman" w:asciiTheme="minorEastAsia" w:hAnsiTheme="minorEastAsia" w:eastAsiaTheme="minorEastAsia"/>
                <w:sz w:val="21"/>
                <w:szCs w:val="21"/>
              </w:rPr>
            </w:pPr>
          </w:p>
        </w:tc>
      </w:tr>
      <w:tr w14:paraId="098E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3692" w:type="dxa"/>
            <w:gridSpan w:val="2"/>
            <w:vAlign w:val="center"/>
          </w:tcPr>
          <w:p w14:paraId="5322ECC4">
            <w:pPr>
              <w:keepNext w:val="0"/>
              <w:keepLines w:val="0"/>
              <w:suppressLineNumbers w:val="0"/>
              <w:adjustRightInd w:val="0"/>
              <w:snapToGrid w:val="0"/>
              <w:spacing w:before="93" w:beforeLines="30" w:beforeAutospacing="0" w:after="0" w:afterAutospacing="0" w:line="240" w:lineRule="auto"/>
              <w:ind w:left="0" w:right="0"/>
              <w:jc w:val="center"/>
              <w:rPr>
                <w:rFonts w:hint="default" w:asciiTheme="minorEastAsia" w:hAnsiTheme="minorEastAsia" w:eastAsiaTheme="minorEastAsia"/>
                <w:szCs w:val="21"/>
              </w:rPr>
            </w:pPr>
            <w:r>
              <w:rPr>
                <w:rFonts w:hint="eastAsia" w:cs="仿宋" w:asciiTheme="minorEastAsia" w:hAnsiTheme="minorEastAsia" w:eastAsiaTheme="minorEastAsia"/>
                <w:szCs w:val="21"/>
              </w:rPr>
              <w:t>投标人全称</w:t>
            </w:r>
          </w:p>
        </w:tc>
        <w:tc>
          <w:tcPr>
            <w:tcW w:w="5076" w:type="dxa"/>
            <w:gridSpan w:val="3"/>
            <w:vAlign w:val="center"/>
          </w:tcPr>
          <w:p w14:paraId="55EBF2EF">
            <w:pPr>
              <w:pStyle w:val="15"/>
              <w:keepNext w:val="0"/>
              <w:keepLines w:val="0"/>
              <w:suppressLineNumbers w:val="0"/>
              <w:adjustRightInd w:val="0"/>
              <w:snapToGrid w:val="0"/>
              <w:spacing w:before="93" w:beforeLines="30" w:beforeAutospacing="0" w:after="0" w:afterAutospacing="0"/>
              <w:ind w:left="1440" w:right="0"/>
              <w:rPr>
                <w:rFonts w:hint="default" w:cs="Times New Roman" w:asciiTheme="minorEastAsia" w:hAnsiTheme="minorEastAsia" w:eastAsiaTheme="minorEastAsia"/>
                <w:sz w:val="21"/>
                <w:szCs w:val="21"/>
              </w:rPr>
            </w:pPr>
          </w:p>
        </w:tc>
      </w:tr>
      <w:tr w14:paraId="7DF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3692" w:type="dxa"/>
            <w:gridSpan w:val="2"/>
            <w:vAlign w:val="center"/>
          </w:tcPr>
          <w:p w14:paraId="323BD40B">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投标总报价（人民币元，含税）</w:t>
            </w:r>
          </w:p>
        </w:tc>
        <w:tc>
          <w:tcPr>
            <w:tcW w:w="5076" w:type="dxa"/>
            <w:gridSpan w:val="3"/>
            <w:vAlign w:val="center"/>
          </w:tcPr>
          <w:p w14:paraId="4C109104">
            <w:pPr>
              <w:pStyle w:val="15"/>
              <w:keepNext w:val="0"/>
              <w:keepLines w:val="0"/>
              <w:suppressLineNumbers w:val="0"/>
              <w:adjustRightInd w:val="0"/>
              <w:snapToGrid w:val="0"/>
              <w:spacing w:before="93" w:beforeLines="30" w:beforeAutospacing="0" w:after="0" w:afterAutospacing="0"/>
              <w:ind w:left="0" w:right="0"/>
              <w:rPr>
                <w:rFonts w:hint="default" w:cs="Times New Roman" w:asciiTheme="minorEastAsia" w:hAnsiTheme="minorEastAsia" w:eastAsiaTheme="minorEastAsia"/>
                <w:sz w:val="21"/>
                <w:szCs w:val="21"/>
              </w:rPr>
            </w:pPr>
            <w:r>
              <w:rPr>
                <w:rFonts w:hint="eastAsia" w:cs="仿宋" w:asciiTheme="minorEastAsia" w:hAnsiTheme="minorEastAsia" w:eastAsiaTheme="minorEastAsia"/>
                <w:sz w:val="21"/>
                <w:szCs w:val="21"/>
              </w:rPr>
              <w:t xml:space="preserve">大写： </w:t>
            </w:r>
            <w:r>
              <w:rPr>
                <w:rFonts w:hint="default" w:cs="仿宋" w:asciiTheme="minorEastAsia" w:hAnsiTheme="minorEastAsia" w:eastAsiaTheme="minorEastAsia"/>
                <w:sz w:val="21"/>
                <w:szCs w:val="21"/>
              </w:rPr>
              <w:t xml:space="preserve">                   </w:t>
            </w:r>
            <w:r>
              <w:rPr>
                <w:rFonts w:hint="eastAsia" w:cs="仿宋" w:asciiTheme="minorEastAsia" w:hAnsiTheme="minorEastAsia" w:eastAsiaTheme="minorEastAsia"/>
                <w:sz w:val="21"/>
                <w:szCs w:val="21"/>
              </w:rPr>
              <w:t>小写：</w:t>
            </w:r>
          </w:p>
        </w:tc>
      </w:tr>
      <w:tr w14:paraId="4B43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554" w:type="dxa"/>
            <w:vMerge w:val="restart"/>
            <w:vAlign w:val="center"/>
          </w:tcPr>
          <w:p w14:paraId="1001E1DA">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r>
              <w:rPr>
                <w:rFonts w:hint="eastAsia"/>
              </w:rPr>
              <w:t>投标人用于评标的价格</w:t>
            </w:r>
            <w:r>
              <w:rPr>
                <w:rFonts w:hint="eastAsia" w:cs="仿宋" w:asciiTheme="minorEastAsia" w:hAnsiTheme="minorEastAsia" w:eastAsiaTheme="minorEastAsia"/>
                <w:szCs w:val="21"/>
              </w:rPr>
              <w:t>（人民币元，不含税）</w:t>
            </w:r>
          </w:p>
        </w:tc>
        <w:tc>
          <w:tcPr>
            <w:tcW w:w="2138" w:type="dxa"/>
            <w:vAlign w:val="center"/>
          </w:tcPr>
          <w:p w14:paraId="32068E59">
            <w:pPr>
              <w:keepNext w:val="0"/>
              <w:keepLines w:val="0"/>
              <w:suppressLineNumbers w:val="0"/>
              <w:adjustRightInd w:val="0"/>
              <w:snapToGrid w:val="0"/>
              <w:spacing w:before="93" w:beforeLines="30" w:beforeAutospacing="0" w:after="0" w:afterAutospacing="0" w:line="240" w:lineRule="auto"/>
              <w:ind w:left="0" w:right="0"/>
              <w:jc w:val="left"/>
              <w:rPr>
                <w:rFonts w:hint="default" w:asciiTheme="minorEastAsia" w:hAnsiTheme="minorEastAsia" w:eastAsiaTheme="minorEastAsia"/>
                <w:szCs w:val="21"/>
              </w:rPr>
            </w:pPr>
            <w:r>
              <w:rPr>
                <w:rFonts w:hint="eastAsia" w:cs="宋体" w:asciiTheme="minorEastAsia" w:hAnsiTheme="minorEastAsia" w:eastAsiaTheme="minorEastAsia"/>
                <w:szCs w:val="21"/>
              </w:rPr>
              <w:t>设计费</w:t>
            </w:r>
          </w:p>
        </w:tc>
        <w:tc>
          <w:tcPr>
            <w:tcW w:w="5076" w:type="dxa"/>
            <w:gridSpan w:val="3"/>
            <w:vAlign w:val="center"/>
          </w:tcPr>
          <w:p w14:paraId="6462D4FB">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eastAsia" w:cs="仿宋" w:asciiTheme="minorEastAsia" w:hAnsiTheme="minorEastAsia" w:eastAsiaTheme="minorEastAsia"/>
                <w:szCs w:val="21"/>
              </w:rPr>
              <w:t>大写：</w:t>
            </w:r>
            <w:r>
              <w:rPr>
                <w:rFonts w:hint="default" w:cs="仿宋" w:asciiTheme="minorEastAsia" w:hAnsiTheme="minorEastAsia" w:eastAsiaTheme="minorEastAsia"/>
                <w:szCs w:val="21"/>
              </w:rPr>
              <w:t xml:space="preserve">                    </w:t>
            </w:r>
            <w:r>
              <w:rPr>
                <w:rFonts w:hint="eastAsia" w:cs="仿宋" w:asciiTheme="minorEastAsia" w:hAnsiTheme="minorEastAsia" w:eastAsiaTheme="minorEastAsia"/>
                <w:szCs w:val="21"/>
              </w:rPr>
              <w:t>小写：</w:t>
            </w:r>
          </w:p>
        </w:tc>
      </w:tr>
      <w:tr w14:paraId="529E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554" w:type="dxa"/>
            <w:vMerge w:val="continue"/>
            <w:vAlign w:val="center"/>
          </w:tcPr>
          <w:p w14:paraId="20106F85">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113B7BF5">
            <w:pPr>
              <w:keepNext w:val="0"/>
              <w:keepLines w:val="0"/>
              <w:suppressLineNumbers w:val="0"/>
              <w:adjustRightInd w:val="0"/>
              <w:snapToGrid w:val="0"/>
              <w:spacing w:before="93" w:beforeLines="30" w:beforeAutospacing="0" w:after="0" w:afterAutospacing="0" w:line="240" w:lineRule="auto"/>
              <w:ind w:left="0" w:right="0"/>
              <w:jc w:val="left"/>
              <w:rPr>
                <w:rFonts w:hint="default" w:asciiTheme="minorEastAsia" w:hAnsiTheme="minorEastAsia" w:eastAsiaTheme="minorEastAsia"/>
                <w:szCs w:val="21"/>
              </w:rPr>
            </w:pPr>
            <w:r>
              <w:rPr>
                <w:rFonts w:hint="eastAsia" w:cs="宋体" w:asciiTheme="minorEastAsia" w:hAnsiTheme="minorEastAsia" w:eastAsiaTheme="minorEastAsia"/>
                <w:szCs w:val="21"/>
              </w:rPr>
              <w:t>设备购置费</w:t>
            </w:r>
          </w:p>
        </w:tc>
        <w:tc>
          <w:tcPr>
            <w:tcW w:w="5076" w:type="dxa"/>
            <w:gridSpan w:val="3"/>
            <w:vAlign w:val="center"/>
          </w:tcPr>
          <w:p w14:paraId="20C4A188">
            <w:pPr>
              <w:keepNext w:val="0"/>
              <w:keepLines w:val="0"/>
              <w:suppressLineNumbers w:val="0"/>
              <w:adjustRightInd w:val="0"/>
              <w:snapToGrid w:val="0"/>
              <w:spacing w:before="93" w:beforeLines="30" w:beforeAutospacing="0" w:after="0" w:afterAutospacing="0" w:line="240" w:lineRule="auto"/>
              <w:ind w:left="0" w:right="0"/>
              <w:rPr>
                <w:rFonts w:hint="default" w:cs="仿宋" w:asciiTheme="minorEastAsia" w:hAnsiTheme="minorEastAsia" w:eastAsiaTheme="minorEastAsia"/>
                <w:szCs w:val="21"/>
              </w:rPr>
            </w:pPr>
            <w:r>
              <w:rPr>
                <w:rFonts w:hint="eastAsia" w:cs="仿宋" w:asciiTheme="minorEastAsia" w:hAnsiTheme="minorEastAsia" w:eastAsiaTheme="minorEastAsia"/>
                <w:szCs w:val="21"/>
              </w:rPr>
              <w:t>大写：</w:t>
            </w:r>
            <w:r>
              <w:rPr>
                <w:rFonts w:hint="default" w:cs="仿宋" w:asciiTheme="minorEastAsia" w:hAnsiTheme="minorEastAsia" w:eastAsiaTheme="minorEastAsia"/>
                <w:szCs w:val="21"/>
              </w:rPr>
              <w:t xml:space="preserve">                    </w:t>
            </w:r>
            <w:r>
              <w:rPr>
                <w:rFonts w:hint="eastAsia" w:cs="仿宋" w:asciiTheme="minorEastAsia" w:hAnsiTheme="minorEastAsia" w:eastAsiaTheme="minorEastAsia"/>
                <w:szCs w:val="21"/>
              </w:rPr>
              <w:t>小写：</w:t>
            </w:r>
          </w:p>
        </w:tc>
      </w:tr>
      <w:tr w14:paraId="65D0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554" w:type="dxa"/>
            <w:vMerge w:val="continue"/>
            <w:vAlign w:val="center"/>
          </w:tcPr>
          <w:p w14:paraId="723B00C0">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186912E9">
            <w:pPr>
              <w:keepNext w:val="0"/>
              <w:keepLines w:val="0"/>
              <w:suppressLineNumbers w:val="0"/>
              <w:adjustRightInd w:val="0"/>
              <w:snapToGrid w:val="0"/>
              <w:spacing w:before="100" w:beforeAutospacing="1" w:after="0" w:afterAutospacing="0" w:line="240" w:lineRule="auto"/>
              <w:ind w:left="0" w:right="0"/>
              <w:rPr>
                <w:rFonts w:hint="default" w:asciiTheme="minorEastAsia" w:hAnsiTheme="minorEastAsia" w:eastAsiaTheme="minorEastAsia"/>
                <w:szCs w:val="21"/>
              </w:rPr>
            </w:pPr>
            <w:r>
              <w:rPr>
                <w:rFonts w:hint="eastAsia" w:cs="宋体" w:asciiTheme="minorEastAsia" w:hAnsiTheme="minorEastAsia" w:eastAsiaTheme="minorEastAsia"/>
                <w:szCs w:val="21"/>
              </w:rPr>
              <w:t>建筑安装工程费</w:t>
            </w:r>
          </w:p>
        </w:tc>
        <w:tc>
          <w:tcPr>
            <w:tcW w:w="5076" w:type="dxa"/>
            <w:gridSpan w:val="3"/>
            <w:vAlign w:val="center"/>
          </w:tcPr>
          <w:p w14:paraId="68DFA184">
            <w:pPr>
              <w:keepNext w:val="0"/>
              <w:keepLines w:val="0"/>
              <w:suppressLineNumbers w:val="0"/>
              <w:adjustRightInd w:val="0"/>
              <w:snapToGrid w:val="0"/>
              <w:spacing w:before="93" w:beforeLines="30" w:beforeAutospacing="0" w:after="0" w:afterAutospacing="0" w:line="240" w:lineRule="auto"/>
              <w:ind w:left="0" w:right="0"/>
              <w:rPr>
                <w:rFonts w:hint="default" w:cs="仿宋" w:asciiTheme="minorEastAsia" w:hAnsiTheme="minorEastAsia" w:eastAsiaTheme="minorEastAsia"/>
                <w:szCs w:val="21"/>
              </w:rPr>
            </w:pPr>
            <w:r>
              <w:rPr>
                <w:rFonts w:hint="eastAsia" w:cs="仿宋" w:asciiTheme="minorEastAsia" w:hAnsiTheme="minorEastAsia" w:eastAsiaTheme="minorEastAsia"/>
                <w:szCs w:val="21"/>
              </w:rPr>
              <w:t>大写：</w:t>
            </w:r>
            <w:r>
              <w:rPr>
                <w:rFonts w:hint="default" w:cs="仿宋" w:asciiTheme="minorEastAsia" w:hAnsiTheme="minorEastAsia" w:eastAsiaTheme="minorEastAsia"/>
                <w:szCs w:val="21"/>
              </w:rPr>
              <w:t xml:space="preserve">                    </w:t>
            </w:r>
            <w:r>
              <w:rPr>
                <w:rFonts w:hint="eastAsia" w:cs="仿宋" w:asciiTheme="minorEastAsia" w:hAnsiTheme="minorEastAsia" w:eastAsiaTheme="minorEastAsia"/>
                <w:szCs w:val="21"/>
              </w:rPr>
              <w:t>小写：</w:t>
            </w:r>
          </w:p>
        </w:tc>
      </w:tr>
      <w:tr w14:paraId="10C2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554" w:type="dxa"/>
            <w:vMerge w:val="continue"/>
            <w:vAlign w:val="center"/>
          </w:tcPr>
          <w:p w14:paraId="69A036CA">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51D9BF18">
            <w:pPr>
              <w:keepNext w:val="0"/>
              <w:keepLines w:val="0"/>
              <w:suppressLineNumbers w:val="0"/>
              <w:adjustRightInd w:val="0"/>
              <w:snapToGrid w:val="0"/>
              <w:spacing w:before="93" w:beforeLines="30" w:beforeAutospacing="0" w:after="0" w:afterAutospacing="0" w:line="240" w:lineRule="auto"/>
              <w:ind w:left="0" w:right="0"/>
              <w:jc w:val="left"/>
              <w:rPr>
                <w:rFonts w:hint="default" w:cs="宋体"/>
                <w:szCs w:val="21"/>
                <w:lang w:bidi="ar"/>
              </w:rPr>
            </w:pPr>
            <w:r>
              <w:rPr>
                <w:rFonts w:hint="eastAsia" w:cs="宋体"/>
                <w:szCs w:val="21"/>
                <w:lang w:bidi="ar"/>
              </w:rPr>
              <w:t>工程其他费</w:t>
            </w:r>
          </w:p>
        </w:tc>
        <w:tc>
          <w:tcPr>
            <w:tcW w:w="5076" w:type="dxa"/>
            <w:gridSpan w:val="3"/>
            <w:vAlign w:val="center"/>
          </w:tcPr>
          <w:p w14:paraId="4DE88E33">
            <w:pPr>
              <w:keepNext w:val="0"/>
              <w:keepLines w:val="0"/>
              <w:suppressLineNumbers w:val="0"/>
              <w:adjustRightInd w:val="0"/>
              <w:snapToGrid w:val="0"/>
              <w:spacing w:before="93" w:beforeLines="30" w:beforeAutospacing="0" w:after="0" w:afterAutospacing="0" w:line="240" w:lineRule="auto"/>
              <w:ind w:left="0" w:right="0"/>
              <w:rPr>
                <w:rFonts w:hint="default" w:cs="仿宋" w:asciiTheme="minorEastAsia" w:hAnsiTheme="minorEastAsia" w:eastAsiaTheme="minorEastAsia"/>
                <w:szCs w:val="21"/>
              </w:rPr>
            </w:pPr>
            <w:r>
              <w:rPr>
                <w:rFonts w:hint="eastAsia" w:cs="仿宋" w:asciiTheme="minorEastAsia" w:hAnsiTheme="minorEastAsia" w:eastAsiaTheme="minorEastAsia"/>
                <w:szCs w:val="21"/>
              </w:rPr>
              <w:t>大写：</w:t>
            </w:r>
            <w:r>
              <w:rPr>
                <w:rFonts w:hint="default" w:cs="仿宋" w:asciiTheme="minorEastAsia" w:hAnsiTheme="minorEastAsia" w:eastAsiaTheme="minorEastAsia"/>
                <w:szCs w:val="21"/>
              </w:rPr>
              <w:t xml:space="preserve">                    </w:t>
            </w:r>
            <w:r>
              <w:rPr>
                <w:rFonts w:hint="eastAsia" w:cs="仿宋" w:asciiTheme="minorEastAsia" w:hAnsiTheme="minorEastAsia" w:eastAsiaTheme="minorEastAsia"/>
                <w:szCs w:val="21"/>
              </w:rPr>
              <w:t>小写：</w:t>
            </w:r>
          </w:p>
        </w:tc>
      </w:tr>
      <w:tr w14:paraId="4660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554" w:type="dxa"/>
            <w:vMerge w:val="continue"/>
            <w:vAlign w:val="center"/>
          </w:tcPr>
          <w:p w14:paraId="0BDB51D3">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0F268CD0">
            <w:pPr>
              <w:keepNext w:val="0"/>
              <w:keepLines w:val="0"/>
              <w:suppressLineNumbers w:val="0"/>
              <w:adjustRightInd w:val="0"/>
              <w:snapToGrid w:val="0"/>
              <w:spacing w:before="93" w:beforeLines="30" w:beforeAutospacing="0" w:after="0" w:afterAutospacing="0" w:line="240" w:lineRule="auto"/>
              <w:ind w:left="0" w:right="0"/>
              <w:jc w:val="left"/>
              <w:rPr>
                <w:rFonts w:hint="default" w:cs="宋体" w:asciiTheme="minorEastAsia" w:hAnsiTheme="minorEastAsia" w:eastAsiaTheme="minorEastAsia"/>
                <w:szCs w:val="21"/>
              </w:rPr>
            </w:pPr>
            <w:r>
              <w:rPr>
                <w:rFonts w:hint="eastAsia"/>
              </w:rPr>
              <w:t>投标人用于评标的价格合计</w:t>
            </w:r>
          </w:p>
        </w:tc>
        <w:tc>
          <w:tcPr>
            <w:tcW w:w="5076" w:type="dxa"/>
            <w:gridSpan w:val="3"/>
            <w:vAlign w:val="center"/>
          </w:tcPr>
          <w:p w14:paraId="3A2F3B20">
            <w:pPr>
              <w:keepNext w:val="0"/>
              <w:keepLines w:val="0"/>
              <w:suppressLineNumbers w:val="0"/>
              <w:adjustRightInd w:val="0"/>
              <w:snapToGrid w:val="0"/>
              <w:spacing w:before="93" w:beforeLines="30" w:beforeAutospacing="0" w:after="0" w:afterAutospacing="0" w:line="240" w:lineRule="auto"/>
              <w:ind w:left="0" w:right="0"/>
              <w:rPr>
                <w:rFonts w:hint="default" w:cs="仿宋" w:asciiTheme="minorEastAsia" w:hAnsiTheme="minorEastAsia" w:eastAsiaTheme="minorEastAsia"/>
                <w:szCs w:val="21"/>
              </w:rPr>
            </w:pPr>
            <w:r>
              <w:rPr>
                <w:rFonts w:hint="eastAsia" w:cs="仿宋" w:asciiTheme="minorEastAsia" w:hAnsiTheme="minorEastAsia" w:eastAsiaTheme="minorEastAsia"/>
                <w:szCs w:val="21"/>
              </w:rPr>
              <w:t>大写：</w:t>
            </w:r>
            <w:r>
              <w:rPr>
                <w:rFonts w:hint="default" w:cs="仿宋" w:asciiTheme="minorEastAsia" w:hAnsiTheme="minorEastAsia" w:eastAsiaTheme="minorEastAsia"/>
                <w:szCs w:val="21"/>
              </w:rPr>
              <w:t xml:space="preserve">                    </w:t>
            </w:r>
            <w:r>
              <w:rPr>
                <w:rFonts w:hint="eastAsia" w:cs="仿宋" w:asciiTheme="minorEastAsia" w:hAnsiTheme="minorEastAsia" w:eastAsiaTheme="minorEastAsia"/>
                <w:szCs w:val="21"/>
              </w:rPr>
              <w:t>小写：</w:t>
            </w:r>
          </w:p>
        </w:tc>
      </w:tr>
      <w:tr w14:paraId="5F4C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554" w:type="dxa"/>
            <w:vMerge w:val="restart"/>
            <w:vAlign w:val="center"/>
          </w:tcPr>
          <w:p w14:paraId="567861AE">
            <w:pPr>
              <w:keepNext w:val="0"/>
              <w:keepLines w:val="0"/>
              <w:suppressLineNumbers w:val="0"/>
              <w:adjustRightInd w:val="0"/>
              <w:snapToGrid w:val="0"/>
              <w:spacing w:before="93" w:beforeLines="30" w:beforeAutospacing="0" w:after="0" w:afterAutospacing="0" w:line="240" w:lineRule="auto"/>
              <w:ind w:left="0" w:right="0"/>
              <w:jc w:val="center"/>
              <w:rPr>
                <w:rFonts w:hint="default" w:asciiTheme="minorEastAsia" w:hAnsiTheme="minorEastAsia" w:eastAsiaTheme="minorEastAsia"/>
                <w:szCs w:val="21"/>
              </w:rPr>
            </w:pPr>
            <w:r>
              <w:rPr>
                <w:rFonts w:hint="default" w:cs="仿宋" w:asciiTheme="minorEastAsia" w:hAnsiTheme="minorEastAsia" w:eastAsiaTheme="minorEastAsia"/>
                <w:szCs w:val="21"/>
              </w:rPr>
              <w:t>税率</w:t>
            </w:r>
          </w:p>
        </w:tc>
        <w:tc>
          <w:tcPr>
            <w:tcW w:w="2138" w:type="dxa"/>
            <w:vAlign w:val="center"/>
          </w:tcPr>
          <w:p w14:paraId="29EE0E74">
            <w:pPr>
              <w:keepNext w:val="0"/>
              <w:keepLines w:val="0"/>
              <w:suppressLineNumbers w:val="0"/>
              <w:adjustRightInd w:val="0"/>
              <w:snapToGrid w:val="0"/>
              <w:spacing w:before="93" w:beforeLines="30" w:beforeAutospacing="0" w:after="0" w:afterAutospacing="0" w:line="240" w:lineRule="auto"/>
              <w:ind w:left="0" w:right="0"/>
              <w:jc w:val="left"/>
              <w:rPr>
                <w:rFonts w:hint="default" w:asciiTheme="minorEastAsia" w:hAnsiTheme="minorEastAsia" w:eastAsiaTheme="minorEastAsia"/>
                <w:szCs w:val="21"/>
              </w:rPr>
            </w:pPr>
            <w:r>
              <w:rPr>
                <w:rFonts w:hint="eastAsia" w:cs="宋体" w:asciiTheme="minorEastAsia" w:hAnsiTheme="minorEastAsia" w:eastAsiaTheme="minorEastAsia"/>
                <w:szCs w:val="21"/>
              </w:rPr>
              <w:t>设计费税率（</w:t>
            </w:r>
            <w:r>
              <w:rPr>
                <w:rFonts w:hint="default" w:cs="宋体" w:asciiTheme="minorEastAsia" w:hAnsiTheme="minorEastAsia" w:eastAsiaTheme="minorEastAsia"/>
                <w:szCs w:val="21"/>
              </w:rPr>
              <w:t>%）</w:t>
            </w:r>
          </w:p>
        </w:tc>
        <w:tc>
          <w:tcPr>
            <w:tcW w:w="5076" w:type="dxa"/>
            <w:gridSpan w:val="3"/>
            <w:vAlign w:val="center"/>
          </w:tcPr>
          <w:p w14:paraId="553404EC">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default"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default" w:cs="宋体" w:asciiTheme="minorEastAsia" w:hAnsiTheme="minorEastAsia" w:eastAsiaTheme="minorEastAsia"/>
                <w:szCs w:val="21"/>
              </w:rPr>
              <w:t>%</w:t>
            </w:r>
          </w:p>
        </w:tc>
      </w:tr>
      <w:tr w14:paraId="1170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554" w:type="dxa"/>
            <w:vMerge w:val="continue"/>
            <w:vAlign w:val="center"/>
          </w:tcPr>
          <w:p w14:paraId="4C8A5A1D">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7F36D61D">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eastAsia" w:cs="宋体" w:asciiTheme="minorEastAsia" w:hAnsiTheme="minorEastAsia" w:eastAsiaTheme="minorEastAsia"/>
                <w:szCs w:val="21"/>
              </w:rPr>
              <w:t>设备购置费税率（</w:t>
            </w:r>
            <w:r>
              <w:rPr>
                <w:rFonts w:hint="default" w:cs="宋体" w:asciiTheme="minorEastAsia" w:hAnsiTheme="minorEastAsia" w:eastAsiaTheme="minorEastAsia"/>
                <w:szCs w:val="21"/>
              </w:rPr>
              <w:t>%）</w:t>
            </w:r>
          </w:p>
        </w:tc>
        <w:tc>
          <w:tcPr>
            <w:tcW w:w="5076" w:type="dxa"/>
            <w:gridSpan w:val="3"/>
            <w:vAlign w:val="center"/>
          </w:tcPr>
          <w:p w14:paraId="21F3DAEA">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default"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default" w:cs="宋体" w:asciiTheme="minorEastAsia" w:hAnsiTheme="minorEastAsia" w:eastAsiaTheme="minorEastAsia"/>
                <w:szCs w:val="21"/>
              </w:rPr>
              <w:t>%</w:t>
            </w:r>
          </w:p>
        </w:tc>
      </w:tr>
      <w:tr w14:paraId="3735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554" w:type="dxa"/>
            <w:vMerge w:val="continue"/>
            <w:vAlign w:val="center"/>
          </w:tcPr>
          <w:p w14:paraId="14521204">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73D47A1C">
            <w:pPr>
              <w:keepNext w:val="0"/>
              <w:keepLines w:val="0"/>
              <w:suppressLineNumbers w:val="0"/>
              <w:adjustRightInd w:val="0"/>
              <w:snapToGrid w:val="0"/>
              <w:spacing w:before="93" w:beforeLines="30" w:beforeAutospacing="0" w:after="0" w:afterAutospacing="0" w:line="240" w:lineRule="auto"/>
              <w:ind w:left="0" w:right="0"/>
              <w:rPr>
                <w:rFonts w:hint="default" w:cs="宋体" w:asciiTheme="minorEastAsia" w:hAnsiTheme="minorEastAsia" w:eastAsiaTheme="minorEastAsia"/>
                <w:szCs w:val="21"/>
              </w:rPr>
            </w:pPr>
            <w:r>
              <w:rPr>
                <w:rFonts w:hint="eastAsia" w:cs="宋体" w:asciiTheme="minorEastAsia" w:hAnsiTheme="minorEastAsia" w:eastAsiaTheme="minorEastAsia"/>
                <w:szCs w:val="21"/>
              </w:rPr>
              <w:t>建筑安装工程费税率（</w:t>
            </w:r>
            <w:r>
              <w:rPr>
                <w:rFonts w:hint="default" w:cs="宋体" w:asciiTheme="minorEastAsia" w:hAnsiTheme="minorEastAsia" w:eastAsiaTheme="minorEastAsia"/>
                <w:szCs w:val="21"/>
              </w:rPr>
              <w:t>%）</w:t>
            </w:r>
          </w:p>
        </w:tc>
        <w:tc>
          <w:tcPr>
            <w:tcW w:w="5076" w:type="dxa"/>
            <w:gridSpan w:val="3"/>
            <w:vAlign w:val="center"/>
          </w:tcPr>
          <w:p w14:paraId="3855AAD0">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default"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default" w:cs="宋体" w:asciiTheme="minorEastAsia" w:hAnsiTheme="minorEastAsia" w:eastAsiaTheme="minorEastAsia"/>
                <w:szCs w:val="21"/>
              </w:rPr>
              <w:t>%</w:t>
            </w:r>
          </w:p>
        </w:tc>
      </w:tr>
      <w:tr w14:paraId="20CC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54" w:type="dxa"/>
            <w:vMerge w:val="continue"/>
            <w:vAlign w:val="center"/>
          </w:tcPr>
          <w:p w14:paraId="120C9954">
            <w:pPr>
              <w:keepNext w:val="0"/>
              <w:keepLines w:val="0"/>
              <w:suppressLineNumbers w:val="0"/>
              <w:adjustRightInd w:val="0"/>
              <w:snapToGrid w:val="0"/>
              <w:spacing w:before="93" w:beforeLines="30" w:beforeAutospacing="0" w:after="0" w:afterAutospacing="0" w:line="240" w:lineRule="auto"/>
              <w:ind w:left="0" w:right="0"/>
              <w:jc w:val="center"/>
              <w:rPr>
                <w:rFonts w:hint="default" w:cs="仿宋" w:asciiTheme="minorEastAsia" w:hAnsiTheme="minorEastAsia" w:eastAsiaTheme="minorEastAsia"/>
                <w:szCs w:val="21"/>
              </w:rPr>
            </w:pPr>
          </w:p>
        </w:tc>
        <w:tc>
          <w:tcPr>
            <w:tcW w:w="2138" w:type="dxa"/>
            <w:vAlign w:val="center"/>
          </w:tcPr>
          <w:p w14:paraId="500BD24A">
            <w:pPr>
              <w:keepNext w:val="0"/>
              <w:keepLines w:val="0"/>
              <w:suppressLineNumbers w:val="0"/>
              <w:adjustRightInd w:val="0"/>
              <w:snapToGrid w:val="0"/>
              <w:spacing w:before="93" w:beforeLines="30" w:beforeAutospacing="0" w:after="0" w:afterAutospacing="0" w:line="240" w:lineRule="auto"/>
              <w:ind w:left="0" w:right="0"/>
              <w:rPr>
                <w:rFonts w:hint="default" w:cs="宋体"/>
                <w:szCs w:val="21"/>
                <w:lang w:bidi="ar"/>
              </w:rPr>
            </w:pPr>
            <w:r>
              <w:rPr>
                <w:rFonts w:hint="eastAsia" w:cs="宋体"/>
                <w:szCs w:val="21"/>
                <w:lang w:bidi="ar"/>
              </w:rPr>
              <w:t>工程其他费税率</w:t>
            </w:r>
            <w:r>
              <w:rPr>
                <w:rFonts w:hint="eastAsia" w:cs="宋体" w:asciiTheme="minorEastAsia" w:hAnsiTheme="minorEastAsia" w:eastAsiaTheme="minorEastAsia"/>
                <w:szCs w:val="21"/>
              </w:rPr>
              <w:t>（</w:t>
            </w:r>
            <w:r>
              <w:rPr>
                <w:rFonts w:hint="default" w:cs="宋体" w:asciiTheme="minorEastAsia" w:hAnsiTheme="minorEastAsia" w:eastAsiaTheme="minorEastAsia"/>
                <w:szCs w:val="21"/>
              </w:rPr>
              <w:t>%）</w:t>
            </w:r>
          </w:p>
        </w:tc>
        <w:tc>
          <w:tcPr>
            <w:tcW w:w="5076" w:type="dxa"/>
            <w:gridSpan w:val="3"/>
            <w:vAlign w:val="center"/>
          </w:tcPr>
          <w:p w14:paraId="78214E55">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r>
              <w:rPr>
                <w:rFonts w:hint="default"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default" w:cs="宋体" w:asciiTheme="minorEastAsia" w:hAnsiTheme="minorEastAsia" w:eastAsiaTheme="minorEastAsia"/>
                <w:szCs w:val="21"/>
              </w:rPr>
              <w:t>%</w:t>
            </w:r>
          </w:p>
        </w:tc>
      </w:tr>
      <w:tr w14:paraId="1DC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692" w:type="dxa"/>
            <w:gridSpan w:val="2"/>
            <w:vAlign w:val="center"/>
          </w:tcPr>
          <w:p w14:paraId="1A27725F">
            <w:pPr>
              <w:keepNext w:val="0"/>
              <w:keepLines w:val="0"/>
              <w:suppressLineNumbers w:val="0"/>
              <w:tabs>
                <w:tab w:val="left" w:pos="0"/>
              </w:tabs>
              <w:spacing w:before="0" w:beforeAutospacing="0" w:after="0" w:afterAutospacing="0" w:line="240" w:lineRule="auto"/>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工期（或项目完成时间）</w:t>
            </w:r>
          </w:p>
        </w:tc>
        <w:tc>
          <w:tcPr>
            <w:tcW w:w="5076" w:type="dxa"/>
            <w:gridSpan w:val="3"/>
            <w:vAlign w:val="center"/>
          </w:tcPr>
          <w:p w14:paraId="63D5BABD">
            <w:pPr>
              <w:pStyle w:val="15"/>
              <w:keepNext w:val="0"/>
              <w:keepLines w:val="0"/>
              <w:suppressLineNumbers w:val="0"/>
              <w:adjustRightInd w:val="0"/>
              <w:snapToGrid w:val="0"/>
              <w:spacing w:before="93" w:beforeLines="30" w:beforeAutospacing="0" w:after="0" w:afterAutospacing="0"/>
              <w:ind w:left="1440" w:right="0"/>
              <w:rPr>
                <w:rFonts w:hint="default" w:cs="Times New Roman" w:asciiTheme="minorEastAsia" w:hAnsiTheme="minorEastAsia" w:eastAsiaTheme="minorEastAsia"/>
                <w:sz w:val="21"/>
                <w:szCs w:val="21"/>
              </w:rPr>
            </w:pPr>
          </w:p>
        </w:tc>
      </w:tr>
      <w:tr w14:paraId="58B7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3692" w:type="dxa"/>
            <w:gridSpan w:val="2"/>
            <w:vAlign w:val="center"/>
          </w:tcPr>
          <w:p w14:paraId="254B90BA">
            <w:pPr>
              <w:keepNext w:val="0"/>
              <w:keepLines w:val="0"/>
              <w:suppressLineNumbers w:val="0"/>
              <w:adjustRightInd w:val="0"/>
              <w:snapToGrid w:val="0"/>
              <w:spacing w:before="93" w:beforeLines="30" w:beforeAutospacing="0" w:after="0" w:afterAutospacing="0" w:line="240" w:lineRule="auto"/>
              <w:ind w:left="0" w:right="0"/>
              <w:jc w:val="center"/>
              <w:rPr>
                <w:rFonts w:hint="default" w:asciiTheme="minorEastAsia" w:hAnsiTheme="minorEastAsia" w:eastAsiaTheme="minorEastAsia"/>
                <w:szCs w:val="21"/>
              </w:rPr>
            </w:pPr>
            <w:r>
              <w:rPr>
                <w:rFonts w:hint="eastAsia" w:cs="仿宋" w:asciiTheme="minorEastAsia" w:hAnsiTheme="minorEastAsia" w:eastAsiaTheme="minorEastAsia"/>
                <w:szCs w:val="21"/>
              </w:rPr>
              <w:t>对招标文件是否完全响应</w:t>
            </w:r>
          </w:p>
        </w:tc>
        <w:tc>
          <w:tcPr>
            <w:tcW w:w="5076" w:type="dxa"/>
            <w:gridSpan w:val="3"/>
            <w:vAlign w:val="center"/>
          </w:tcPr>
          <w:p w14:paraId="3B628C1A">
            <w:pPr>
              <w:keepNext w:val="0"/>
              <w:keepLines w:val="0"/>
              <w:suppressLineNumbers w:val="0"/>
              <w:adjustRightInd w:val="0"/>
              <w:snapToGrid w:val="0"/>
              <w:spacing w:before="93" w:beforeLines="30" w:beforeAutospacing="0" w:after="0" w:afterAutospacing="0" w:line="240" w:lineRule="auto"/>
              <w:ind w:left="0" w:right="0"/>
              <w:rPr>
                <w:rFonts w:hint="default" w:asciiTheme="minorEastAsia" w:hAnsiTheme="minorEastAsia" w:eastAsiaTheme="minorEastAsia"/>
                <w:szCs w:val="21"/>
              </w:rPr>
            </w:pPr>
          </w:p>
        </w:tc>
      </w:tr>
    </w:tbl>
    <w:p w14:paraId="77BF85A9">
      <w:pPr>
        <w:spacing w:line="336" w:lineRule="auto"/>
        <w:ind w:firstLine="420"/>
      </w:pPr>
      <w:r>
        <w:rPr>
          <w:rFonts w:hint="eastAsia"/>
        </w:rPr>
        <w:t>备注：</w:t>
      </w:r>
      <w:r>
        <w:t>1.开标时，如开标一览表内容与投标文件内容不一致时，以公开唱标的开标一览表为准。</w:t>
      </w:r>
    </w:p>
    <w:p w14:paraId="283B26E5">
      <w:pPr>
        <w:spacing w:line="336" w:lineRule="auto"/>
        <w:ind w:firstLine="420"/>
      </w:pPr>
      <w:r>
        <w:t>2.</w:t>
      </w:r>
      <w:r>
        <w:rPr>
          <w:rFonts w:hint="eastAsia"/>
        </w:rPr>
        <w:t>当含税价和不含税的计算结果不一致时，以不含税价=含税价/（1+税率）为准调整不含税价，小数点保留 2 位，小数点3位四舍五入。</w:t>
      </w:r>
    </w:p>
    <w:p w14:paraId="14D3A9D1">
      <w:pPr>
        <w:spacing w:line="336" w:lineRule="auto"/>
        <w:ind w:firstLine="420"/>
      </w:pPr>
      <w:r>
        <w:rPr>
          <w:rFonts w:cs="宋体"/>
        </w:rPr>
        <w:t>3.投标人为一般纳税人的，</w:t>
      </w:r>
      <w:r>
        <w:rPr>
          <w:rFonts w:hint="eastAsia" w:cs="宋体" w:asciiTheme="minorEastAsia" w:hAnsiTheme="minorEastAsia" w:eastAsiaTheme="minorEastAsia"/>
          <w:szCs w:val="21"/>
        </w:rPr>
        <w:t>设计费</w:t>
      </w:r>
      <w:r>
        <w:rPr>
          <w:rFonts w:hint="eastAsia"/>
          <w:bCs/>
        </w:rPr>
        <w:t>增值税税率适用</w:t>
      </w:r>
      <w:r>
        <w:rPr>
          <w:rFonts w:hint="eastAsia" w:cs="宋体" w:asciiTheme="minorEastAsia" w:hAnsiTheme="minorEastAsia" w:eastAsiaTheme="minorEastAsia"/>
          <w:szCs w:val="21"/>
        </w:rPr>
        <w:t>6%；</w:t>
      </w:r>
      <w:r>
        <w:rPr>
          <w:rFonts w:hint="eastAsia"/>
          <w:bCs/>
        </w:rPr>
        <w:t>设备购置增值税税率适用</w:t>
      </w:r>
      <w:r>
        <w:rPr>
          <w:bCs/>
        </w:rPr>
        <w:t>13%，建筑安装工程增值税税率适用9%；</w:t>
      </w:r>
      <w:r>
        <w:rPr>
          <w:rFonts w:hint="eastAsia" w:cs="宋体"/>
        </w:rPr>
        <w:t>各投标人仔细核算设备购置类和建筑安装类所含子项，确保投标报价时各子项分类符合国家有关法律法规和市场惯例，因投标人原因造成的后续子项税率调整出现的价格调增，由投标人自行负责。</w:t>
      </w:r>
    </w:p>
    <w:p w14:paraId="4EE32620">
      <w:pPr>
        <w:ind w:firstLine="3360" w:firstLineChars="1600"/>
        <w:jc w:val="left"/>
        <w:rPr>
          <w:szCs w:val="21"/>
        </w:rPr>
      </w:pPr>
      <w:r>
        <w:rPr>
          <w:rFonts w:hint="eastAsia"/>
          <w:szCs w:val="21"/>
        </w:rPr>
        <w:t>投标人名称</w:t>
      </w:r>
      <w:r>
        <w:rPr>
          <w:szCs w:val="21"/>
        </w:rPr>
        <w:t>(</w:t>
      </w:r>
      <w:r>
        <w:rPr>
          <w:rFonts w:hint="eastAsia"/>
          <w:szCs w:val="21"/>
        </w:rPr>
        <w:t>盖章</w:t>
      </w:r>
      <w:r>
        <w:rPr>
          <w:szCs w:val="21"/>
        </w:rPr>
        <w:t>)</w:t>
      </w:r>
      <w:r>
        <w:rPr>
          <w:rFonts w:hint="eastAsia"/>
          <w:szCs w:val="21"/>
        </w:rPr>
        <w:t>：</w:t>
      </w:r>
    </w:p>
    <w:p w14:paraId="17D12F4E">
      <w:pPr>
        <w:ind w:firstLine="3360" w:firstLineChars="1600"/>
        <w:jc w:val="left"/>
        <w:rPr>
          <w:szCs w:val="21"/>
        </w:rPr>
      </w:pPr>
      <w:r>
        <w:rPr>
          <w:rFonts w:hint="eastAsia"/>
          <w:szCs w:val="21"/>
        </w:rPr>
        <w:t>法定代表人或委托代理人</w:t>
      </w:r>
      <w:r>
        <w:rPr>
          <w:szCs w:val="21"/>
        </w:rPr>
        <w:t>(</w:t>
      </w:r>
      <w:r>
        <w:rPr>
          <w:rFonts w:hint="eastAsia"/>
          <w:szCs w:val="21"/>
        </w:rPr>
        <w:t>签字或盖章</w:t>
      </w:r>
      <w:r>
        <w:rPr>
          <w:szCs w:val="21"/>
        </w:rPr>
        <w:t>)</w:t>
      </w:r>
      <w:r>
        <w:rPr>
          <w:rFonts w:hint="eastAsia"/>
          <w:szCs w:val="21"/>
        </w:rPr>
        <w:t>：</w:t>
      </w:r>
    </w:p>
    <w:p w14:paraId="128D0EB6">
      <w:pPr>
        <w:ind w:firstLine="3360" w:firstLineChars="1600"/>
        <w:rPr>
          <w:rFonts w:ascii="黑体"/>
          <w:szCs w:val="21"/>
        </w:rPr>
      </w:pPr>
      <w:r>
        <w:rPr>
          <w:rFonts w:hint="eastAsia"/>
          <w:szCs w:val="21"/>
        </w:rPr>
        <w:t>日　期：    年    月    日</w:t>
      </w:r>
    </w:p>
    <w:p w14:paraId="4D3B89EF">
      <w:pPr>
        <w:ind w:firstLine="1260" w:firstLineChars="600"/>
        <w:rPr>
          <w:szCs w:val="21"/>
        </w:rPr>
      </w:pPr>
    </w:p>
    <w:p w14:paraId="2B285B20">
      <w:pPr>
        <w:pStyle w:val="45"/>
        <w:widowControl/>
        <w:spacing w:line="240" w:lineRule="auto"/>
        <w:ind w:firstLine="420"/>
        <w:jc w:val="left"/>
        <w:rPr>
          <w:lang w:bidi="ar"/>
        </w:rPr>
      </w:pPr>
    </w:p>
    <w:p w14:paraId="214757F7">
      <w:pPr>
        <w:rPr>
          <w:rFonts w:ascii="黑体" w:hAnsi="黑体" w:cs="宋体"/>
          <w:b/>
          <w:sz w:val="24"/>
        </w:rPr>
      </w:pPr>
      <w:r>
        <w:rPr>
          <w:rFonts w:hint="eastAsia" w:ascii="黑体" w:hAnsi="黑体" w:cs="宋体"/>
          <w:b/>
          <w:sz w:val="24"/>
        </w:rPr>
        <w:t>投标报价格式</w:t>
      </w:r>
      <w:r>
        <w:rPr>
          <w:rFonts w:ascii="黑体" w:hAnsi="黑体" w:cs="宋体"/>
          <w:b/>
          <w:sz w:val="24"/>
        </w:rPr>
        <w:t xml:space="preserve"> </w:t>
      </w:r>
    </w:p>
    <w:p w14:paraId="550C267B">
      <w:pPr>
        <w:spacing w:line="380" w:lineRule="exact"/>
        <w:outlineLvl w:val="2"/>
        <w:rPr>
          <w:rFonts w:ascii="黑体" w:eastAsia="黑体"/>
          <w:sz w:val="24"/>
        </w:rPr>
      </w:pPr>
      <w:r>
        <w:rPr>
          <w:rFonts w:hint="eastAsia" w:ascii="黑体" w:eastAsia="黑体"/>
          <w:sz w:val="24"/>
        </w:rPr>
        <w:t>表</w:t>
      </w:r>
      <w:r>
        <w:rPr>
          <w:rFonts w:ascii="黑体" w:eastAsia="黑体"/>
          <w:sz w:val="24"/>
        </w:rPr>
        <w:t>-01投标总价表</w:t>
      </w:r>
    </w:p>
    <w:p w14:paraId="6D2794FE">
      <w:pPr>
        <w:spacing w:line="380" w:lineRule="exact"/>
        <w:ind w:firstLine="480" w:firstLineChars="200"/>
        <w:rPr>
          <w:rFonts w:ascii="黑体" w:eastAsia="黑体"/>
          <w:sz w:val="24"/>
        </w:rPr>
      </w:pPr>
    </w:p>
    <w:p w14:paraId="0F48DDCC">
      <w:pPr>
        <w:spacing w:line="380" w:lineRule="exact"/>
        <w:rPr>
          <w:rFonts w:ascii="黑体" w:eastAsia="黑体"/>
          <w:sz w:val="24"/>
        </w:rPr>
      </w:pPr>
    </w:p>
    <w:p w14:paraId="6CA759F6">
      <w:pPr>
        <w:spacing w:before="312" w:beforeLines="100" w:after="312" w:afterLines="100" w:line="480" w:lineRule="auto"/>
        <w:jc w:val="center"/>
        <w:rPr>
          <w:rFonts w:ascii="黑体" w:eastAsia="黑体"/>
          <w:sz w:val="28"/>
          <w:szCs w:val="28"/>
        </w:rPr>
      </w:pPr>
      <w:r>
        <w:rPr>
          <w:rFonts w:hint="eastAsia" w:ascii="黑体" w:eastAsia="黑体"/>
          <w:sz w:val="28"/>
          <w:szCs w:val="28"/>
        </w:rPr>
        <w:t>投标总价</w:t>
      </w:r>
    </w:p>
    <w:p w14:paraId="05EEBC42">
      <w:pPr>
        <w:spacing w:line="600" w:lineRule="exact"/>
        <w:ind w:firstLine="420" w:firstLineChars="200"/>
        <w:rPr>
          <w:rFonts w:ascii="黑体" w:eastAsia="黑体"/>
          <w:u w:val="single"/>
        </w:rPr>
      </w:pPr>
      <w:r>
        <w:rPr>
          <w:rFonts w:hint="eastAsia" w:ascii="黑体" w:eastAsia="黑体"/>
        </w:rPr>
        <w:t>招</w:t>
      </w:r>
      <w:r>
        <w:rPr>
          <w:rFonts w:ascii="黑体" w:eastAsia="黑体"/>
        </w:rPr>
        <w:t xml:space="preserve"> </w:t>
      </w:r>
      <w:r>
        <w:rPr>
          <w:rFonts w:hint="eastAsia" w:ascii="黑体" w:eastAsia="黑体"/>
        </w:rPr>
        <w:t>标</w:t>
      </w:r>
      <w:r>
        <w:rPr>
          <w:rFonts w:ascii="黑体" w:eastAsia="黑体"/>
        </w:rPr>
        <w:t xml:space="preserve"> </w:t>
      </w:r>
      <w:r>
        <w:rPr>
          <w:rFonts w:hint="eastAsia" w:ascii="黑体" w:eastAsia="黑体"/>
        </w:rPr>
        <w:t>人：</w:t>
      </w:r>
    </w:p>
    <w:p w14:paraId="5AB7D48F">
      <w:pPr>
        <w:spacing w:line="600" w:lineRule="exact"/>
        <w:ind w:firstLine="420" w:firstLineChars="200"/>
        <w:rPr>
          <w:rFonts w:ascii="黑体" w:eastAsia="黑体"/>
        </w:rPr>
      </w:pPr>
      <w:r>
        <w:rPr>
          <w:rFonts w:hint="eastAsia" w:ascii="黑体" w:eastAsia="黑体"/>
        </w:rPr>
        <w:t>工程名称：</w:t>
      </w:r>
    </w:p>
    <w:p w14:paraId="6C128025">
      <w:pPr>
        <w:spacing w:line="600" w:lineRule="exact"/>
        <w:ind w:firstLine="420" w:firstLineChars="200"/>
        <w:rPr>
          <w:rFonts w:ascii="黑体" w:eastAsia="黑体"/>
        </w:rPr>
      </w:pPr>
      <w:r>
        <w:rPr>
          <w:rFonts w:hint="eastAsia" w:ascii="黑体" w:eastAsia="黑体"/>
        </w:rPr>
        <w:t>投标总价</w:t>
      </w:r>
      <w:r>
        <w:rPr>
          <w:rFonts w:ascii="黑体" w:eastAsia="黑体"/>
        </w:rPr>
        <w:t xml:space="preserve"> </w:t>
      </w:r>
      <w:r>
        <w:t>(含增值税，小写)</w:t>
      </w:r>
      <w:r>
        <w:rPr>
          <w:rFonts w:ascii="黑体" w:eastAsia="黑体"/>
        </w:rPr>
        <w:t xml:space="preserve"> ：                   </w:t>
      </w:r>
    </w:p>
    <w:p w14:paraId="135F9064">
      <w:pPr>
        <w:spacing w:line="600" w:lineRule="exact"/>
        <w:ind w:firstLine="1470" w:firstLineChars="700"/>
        <w:rPr>
          <w:rFonts w:ascii="黑体" w:eastAsia="黑体"/>
        </w:rPr>
      </w:pPr>
      <w:r>
        <w:t>(含增值税，大写)</w:t>
      </w:r>
      <w:r>
        <w:rPr>
          <w:rFonts w:ascii="黑体" w:eastAsia="黑体"/>
        </w:rPr>
        <w:t xml:space="preserve"> ：</w:t>
      </w:r>
    </w:p>
    <w:p w14:paraId="490D27DA">
      <w:pPr>
        <w:spacing w:line="600" w:lineRule="exact"/>
        <w:ind w:firstLine="1260" w:firstLineChars="600"/>
        <w:rPr>
          <w:rFonts w:ascii="黑体" w:eastAsia="黑体"/>
        </w:rPr>
      </w:pPr>
      <w:r>
        <w:t>(不含增值税，小写)</w:t>
      </w:r>
      <w:r>
        <w:rPr>
          <w:rFonts w:ascii="黑体" w:eastAsia="黑体"/>
        </w:rPr>
        <w:t xml:space="preserve"> ：                   </w:t>
      </w:r>
    </w:p>
    <w:p w14:paraId="34DCA2B8">
      <w:pPr>
        <w:spacing w:line="600" w:lineRule="exact"/>
        <w:ind w:firstLine="1260" w:firstLineChars="600"/>
        <w:rPr>
          <w:rFonts w:ascii="黑体" w:eastAsia="黑体"/>
        </w:rPr>
      </w:pPr>
      <w:r>
        <w:t>(不含增值税，大写)</w:t>
      </w:r>
      <w:r>
        <w:rPr>
          <w:rFonts w:ascii="黑体" w:eastAsia="黑体"/>
        </w:rPr>
        <w:t xml:space="preserve"> ：</w:t>
      </w:r>
    </w:p>
    <w:p w14:paraId="3A913BDB">
      <w:pPr>
        <w:pStyle w:val="45"/>
        <w:ind w:firstLine="1470" w:firstLineChars="700"/>
      </w:pPr>
      <w:r>
        <w:rPr>
          <w:rFonts w:hint="eastAsia"/>
        </w:rPr>
        <w:t>（小数点保留</w:t>
      </w:r>
      <w:r>
        <w:t xml:space="preserve"> 2 </w:t>
      </w:r>
      <w:r>
        <w:rPr>
          <w:rFonts w:hint="eastAsia"/>
        </w:rPr>
        <w:t>位，小数点</w:t>
      </w:r>
      <w:r>
        <w:t>3位四舍五入。）</w:t>
      </w:r>
    </w:p>
    <w:p w14:paraId="760CAA44">
      <w:pPr>
        <w:spacing w:line="600" w:lineRule="exact"/>
        <w:ind w:firstLine="1260" w:firstLineChars="600"/>
        <w:rPr>
          <w:rFonts w:ascii="黑体" w:eastAsia="黑体"/>
        </w:rPr>
      </w:pPr>
    </w:p>
    <w:p w14:paraId="533537CE">
      <w:pPr>
        <w:spacing w:line="320" w:lineRule="exact"/>
        <w:ind w:firstLine="420" w:firstLineChars="200"/>
        <w:rPr>
          <w:rFonts w:ascii="黑体" w:eastAsia="黑体"/>
        </w:rPr>
      </w:pPr>
      <w:r>
        <w:rPr>
          <w:rFonts w:hint="eastAsia" w:ascii="黑体" w:eastAsia="黑体"/>
        </w:rPr>
        <w:t>投</w:t>
      </w:r>
      <w:r>
        <w:rPr>
          <w:rFonts w:ascii="黑体" w:eastAsia="黑体"/>
        </w:rPr>
        <w:t xml:space="preserve"> 标 人：                          (单位盖章)</w:t>
      </w:r>
    </w:p>
    <w:p w14:paraId="113893F9">
      <w:pPr>
        <w:spacing w:line="320" w:lineRule="exact"/>
        <w:ind w:firstLine="420" w:firstLineChars="200"/>
        <w:rPr>
          <w:rFonts w:ascii="黑体" w:eastAsia="黑体"/>
        </w:rPr>
      </w:pPr>
    </w:p>
    <w:p w14:paraId="11E20B6D">
      <w:pPr>
        <w:spacing w:line="380" w:lineRule="exact"/>
        <w:ind w:firstLine="420" w:firstLineChars="200"/>
        <w:rPr>
          <w:rFonts w:ascii="黑体" w:eastAsia="黑体"/>
        </w:rPr>
      </w:pPr>
    </w:p>
    <w:p w14:paraId="4F35783F">
      <w:pPr>
        <w:spacing w:line="380" w:lineRule="exact"/>
        <w:ind w:firstLine="420" w:firstLineChars="200"/>
        <w:rPr>
          <w:rFonts w:ascii="黑体" w:eastAsia="黑体"/>
        </w:rPr>
      </w:pPr>
    </w:p>
    <w:p w14:paraId="59B3DCE3">
      <w:pPr>
        <w:spacing w:after="93" w:afterLines="30" w:line="380" w:lineRule="exact"/>
        <w:ind w:firstLine="420" w:firstLineChars="200"/>
        <w:rPr>
          <w:rFonts w:ascii="黑体" w:eastAsia="黑体"/>
        </w:rPr>
      </w:pPr>
      <w:r>
        <w:rPr>
          <w:rFonts w:hint="eastAsia" w:ascii="黑体" w:eastAsia="黑体"/>
        </w:rPr>
        <w:t>法定代表人</w:t>
      </w:r>
      <w:r>
        <w:rPr>
          <w:rFonts w:ascii="黑体" w:eastAsia="黑体"/>
        </w:rPr>
        <w:t xml:space="preserve">                              </w:t>
      </w:r>
    </w:p>
    <w:p w14:paraId="26358FE6">
      <w:pPr>
        <w:spacing w:line="320" w:lineRule="exact"/>
        <w:ind w:firstLine="420" w:firstLineChars="200"/>
        <w:rPr>
          <w:rFonts w:ascii="黑体" w:eastAsia="黑体"/>
        </w:rPr>
      </w:pPr>
      <w:r>
        <w:rPr>
          <w:rFonts w:hint="eastAsia" w:ascii="黑体" w:eastAsia="黑体"/>
        </w:rPr>
        <w:t>或其授权人：</w:t>
      </w:r>
      <w:r>
        <w:rPr>
          <w:rFonts w:ascii="黑体" w:eastAsia="黑体"/>
        </w:rPr>
        <w:t xml:space="preserve">                       (签字或盖章)</w:t>
      </w:r>
    </w:p>
    <w:p w14:paraId="5AD888CB">
      <w:pPr>
        <w:spacing w:line="320" w:lineRule="exact"/>
        <w:ind w:firstLine="420" w:firstLineChars="200"/>
        <w:rPr>
          <w:rFonts w:ascii="黑体" w:eastAsia="黑体"/>
        </w:rPr>
      </w:pPr>
    </w:p>
    <w:p w14:paraId="325D3C4F">
      <w:pPr>
        <w:spacing w:line="320" w:lineRule="exact"/>
        <w:ind w:firstLine="3990" w:firstLineChars="1900"/>
        <w:rPr>
          <w:rFonts w:ascii="黑体" w:eastAsia="黑体"/>
        </w:rPr>
      </w:pPr>
    </w:p>
    <w:p w14:paraId="006CB4CB">
      <w:pPr>
        <w:spacing w:line="320" w:lineRule="exact"/>
        <w:ind w:firstLine="3990" w:firstLineChars="1900"/>
        <w:rPr>
          <w:rFonts w:ascii="黑体" w:eastAsia="黑体"/>
        </w:rPr>
      </w:pPr>
    </w:p>
    <w:p w14:paraId="5743A075">
      <w:pPr>
        <w:spacing w:line="380" w:lineRule="exact"/>
        <w:ind w:firstLine="420" w:firstLineChars="200"/>
        <w:rPr>
          <w:rFonts w:ascii="黑体" w:eastAsia="黑体"/>
        </w:rPr>
      </w:pPr>
    </w:p>
    <w:p w14:paraId="4D082743">
      <w:pPr>
        <w:spacing w:line="380" w:lineRule="exact"/>
        <w:ind w:firstLine="420" w:firstLineChars="200"/>
        <w:rPr>
          <w:rFonts w:ascii="黑体" w:eastAsia="黑体"/>
        </w:rPr>
      </w:pPr>
    </w:p>
    <w:p w14:paraId="47421DBD">
      <w:pPr>
        <w:spacing w:line="380" w:lineRule="exact"/>
        <w:ind w:firstLine="420" w:firstLineChars="200"/>
        <w:rPr>
          <w:rFonts w:ascii="黑体" w:eastAsia="黑体"/>
        </w:rPr>
      </w:pPr>
      <w:r>
        <w:rPr>
          <w:rFonts w:hint="eastAsia" w:ascii="黑体" w:eastAsia="黑体"/>
        </w:rPr>
        <w:t>编制时间：</w:t>
      </w:r>
      <w:r>
        <w:rPr>
          <w:rFonts w:ascii="黑体" w:eastAsia="黑体"/>
        </w:rPr>
        <w:t xml:space="preserve">              </w:t>
      </w:r>
      <w:r>
        <w:rPr>
          <w:rFonts w:hint="eastAsia"/>
        </w:rPr>
        <w:t>年</w:t>
      </w:r>
      <w:r>
        <w:t xml:space="preserve">      </w:t>
      </w:r>
      <w:r>
        <w:rPr>
          <w:rFonts w:hint="eastAsia"/>
        </w:rPr>
        <w:t>月</w:t>
      </w:r>
      <w:r>
        <w:t xml:space="preserve">      </w:t>
      </w:r>
      <w:r>
        <w:rPr>
          <w:rFonts w:hint="eastAsia"/>
        </w:rPr>
        <w:t>日</w:t>
      </w:r>
    </w:p>
    <w:p w14:paraId="3ABC2217">
      <w:pPr>
        <w:spacing w:after="156" w:afterLines="50" w:line="380" w:lineRule="exact"/>
        <w:jc w:val="right"/>
        <w:rPr>
          <w:rFonts w:ascii="黑体" w:eastAsia="黑体"/>
        </w:rPr>
      </w:pPr>
    </w:p>
    <w:p w14:paraId="58CF9248">
      <w:pPr>
        <w:jc w:val="center"/>
        <w:rPr>
          <w:sz w:val="32"/>
        </w:rPr>
      </w:pPr>
      <w:r>
        <w:rPr>
          <w:rFonts w:hint="eastAsia" w:ascii="黑体" w:eastAsia="黑体"/>
          <w:szCs w:val="21"/>
        </w:rPr>
        <w:br w:type="page"/>
      </w:r>
    </w:p>
    <w:p w14:paraId="748C80A6">
      <w:pPr>
        <w:tabs>
          <w:tab w:val="left" w:pos="2431"/>
        </w:tabs>
        <w:rPr>
          <w:rFonts w:ascii="黑体" w:hAnsi="黑体" w:eastAsia="黑体"/>
          <w:sz w:val="24"/>
        </w:rPr>
      </w:pPr>
    </w:p>
    <w:p w14:paraId="225B6085">
      <w:pPr>
        <w:tabs>
          <w:tab w:val="left" w:pos="2431"/>
        </w:tabs>
        <w:spacing w:line="380" w:lineRule="exact"/>
        <w:outlineLvl w:val="2"/>
        <w:rPr>
          <w:rFonts w:ascii="黑体" w:hAnsi="黑体" w:eastAsia="黑体"/>
          <w:sz w:val="24"/>
        </w:rPr>
      </w:pPr>
      <w:r>
        <w:rPr>
          <w:rFonts w:ascii="黑体" w:hAnsi="黑体" w:eastAsia="黑体"/>
          <w:sz w:val="24"/>
        </w:rPr>
        <w:t>表</w:t>
      </w:r>
      <w:r>
        <w:rPr>
          <w:rFonts w:hint="eastAsia" w:ascii="黑体" w:hAnsi="黑体" w:eastAsia="黑体"/>
          <w:sz w:val="24"/>
        </w:rPr>
        <w:t>-02投标报价汇总表</w:t>
      </w:r>
      <w:r>
        <w:rPr>
          <w:rFonts w:ascii="黑体" w:hAnsi="黑体" w:eastAsia="黑体"/>
          <w:sz w:val="24"/>
        </w:rPr>
        <w:tab/>
      </w:r>
      <w:r>
        <w:rPr>
          <w:rFonts w:ascii="黑体" w:hAnsi="黑体" w:eastAsia="黑体"/>
          <w:sz w:val="24"/>
        </w:rPr>
        <w:t xml:space="preserve">  </w:t>
      </w:r>
    </w:p>
    <w:p w14:paraId="7F59692D"/>
    <w:p w14:paraId="76BC5EA7">
      <w:pPr>
        <w:widowControl/>
        <w:jc w:val="center"/>
        <w:rPr>
          <w:rFonts w:ascii="方正仿宋_GBK" w:eastAsia="方正仿宋_GBK" w:cs="宋体"/>
          <w:b/>
          <w:bCs/>
          <w:kern w:val="0"/>
          <w:sz w:val="24"/>
          <w:szCs w:val="21"/>
        </w:rPr>
      </w:pPr>
    </w:p>
    <w:p w14:paraId="363550F1">
      <w:pPr>
        <w:widowControl/>
        <w:jc w:val="center"/>
        <w:rPr>
          <w:rFonts w:ascii="黑体" w:hAnsi="黑体" w:eastAsia="黑体" w:cs="宋体"/>
          <w:bCs/>
          <w:kern w:val="0"/>
          <w:sz w:val="28"/>
          <w:szCs w:val="21"/>
        </w:rPr>
      </w:pPr>
      <w:r>
        <w:rPr>
          <w:rFonts w:hint="eastAsia" w:ascii="黑体" w:hAnsi="黑体" w:eastAsia="黑体" w:cs="宋体"/>
          <w:bCs/>
          <w:kern w:val="0"/>
          <w:sz w:val="28"/>
          <w:szCs w:val="21"/>
        </w:rPr>
        <w:t>投标报价</w:t>
      </w:r>
      <w:r>
        <w:rPr>
          <w:rFonts w:ascii="黑体" w:hAnsi="黑体" w:eastAsia="黑体" w:cs="宋体"/>
          <w:bCs/>
          <w:kern w:val="0"/>
          <w:sz w:val="28"/>
          <w:szCs w:val="21"/>
        </w:rPr>
        <w:t>汇总表</w:t>
      </w:r>
    </w:p>
    <w:p w14:paraId="6CE231BB">
      <w:pPr>
        <w:pStyle w:val="12"/>
      </w:pPr>
    </w:p>
    <w:p w14:paraId="21933CB9">
      <w:pPr>
        <w:pStyle w:val="12"/>
      </w:pPr>
      <w:r>
        <w:rPr>
          <w:rFonts w:hint="eastAsia"/>
        </w:rPr>
        <w:t xml:space="preserve">工程名称： </w:t>
      </w:r>
      <w:r>
        <w:t xml:space="preserve">                                             </w:t>
      </w:r>
    </w:p>
    <w:tbl>
      <w:tblPr>
        <w:tblStyle w:val="46"/>
        <w:tblW w:w="8530" w:type="dxa"/>
        <w:jc w:val="center"/>
        <w:tblLayout w:type="fixed"/>
        <w:tblCellMar>
          <w:top w:w="0" w:type="dxa"/>
          <w:left w:w="0" w:type="dxa"/>
          <w:bottom w:w="0" w:type="dxa"/>
          <w:right w:w="0" w:type="dxa"/>
        </w:tblCellMar>
      </w:tblPr>
      <w:tblGrid>
        <w:gridCol w:w="981"/>
        <w:gridCol w:w="3103"/>
        <w:gridCol w:w="2217"/>
        <w:gridCol w:w="2229"/>
      </w:tblGrid>
      <w:tr w14:paraId="633F228F">
        <w:tblPrEx>
          <w:tblCellMar>
            <w:top w:w="0" w:type="dxa"/>
            <w:left w:w="0" w:type="dxa"/>
            <w:bottom w:w="0" w:type="dxa"/>
            <w:right w:w="0" w:type="dxa"/>
          </w:tblCellMar>
        </w:tblPrEx>
        <w:trPr>
          <w:trHeight w:val="728" w:hRule="atLeast"/>
          <w:jc w:val="center"/>
        </w:trPr>
        <w:tc>
          <w:tcPr>
            <w:tcW w:w="98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36C313A">
            <w:pPr>
              <w:keepNext w:val="0"/>
              <w:keepLines w:val="0"/>
              <w:widowControl/>
              <w:suppressLineNumbers w:val="0"/>
              <w:spacing w:before="0" w:beforeAutospacing="0" w:after="0" w:afterAutospacing="0"/>
              <w:ind w:left="0" w:right="0"/>
              <w:jc w:val="center"/>
              <w:rPr>
                <w:rFonts w:hint="default" w:cs="宋体"/>
                <w:b/>
                <w:bCs/>
                <w:kern w:val="0"/>
                <w:szCs w:val="21"/>
              </w:rPr>
            </w:pPr>
            <w:r>
              <w:rPr>
                <w:rFonts w:hint="default" w:cs="宋体"/>
                <w:b/>
                <w:bCs/>
                <w:kern w:val="0"/>
                <w:szCs w:val="21"/>
              </w:rPr>
              <w:t>序号</w:t>
            </w:r>
          </w:p>
        </w:tc>
        <w:tc>
          <w:tcPr>
            <w:tcW w:w="3103" w:type="dxa"/>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14:paraId="44044669">
            <w:pPr>
              <w:keepNext w:val="0"/>
              <w:keepLines w:val="0"/>
              <w:widowControl/>
              <w:suppressLineNumbers w:val="0"/>
              <w:spacing w:before="0" w:beforeAutospacing="0" w:after="0" w:afterAutospacing="0"/>
              <w:ind w:left="0" w:right="0"/>
              <w:jc w:val="center"/>
              <w:rPr>
                <w:rFonts w:hint="default" w:cs="宋体"/>
                <w:b/>
                <w:bCs/>
                <w:kern w:val="0"/>
                <w:szCs w:val="21"/>
              </w:rPr>
            </w:pPr>
            <w:r>
              <w:rPr>
                <w:rFonts w:hint="default" w:cs="宋体"/>
                <w:b/>
                <w:bCs/>
                <w:kern w:val="0"/>
                <w:szCs w:val="21"/>
              </w:rPr>
              <w:t>项目名称</w:t>
            </w:r>
          </w:p>
        </w:tc>
        <w:tc>
          <w:tcPr>
            <w:tcW w:w="2217" w:type="dxa"/>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14:paraId="10E5F121">
            <w:pPr>
              <w:keepNext w:val="0"/>
              <w:keepLines w:val="0"/>
              <w:widowControl/>
              <w:suppressLineNumbers w:val="0"/>
              <w:spacing w:before="0" w:beforeAutospacing="0" w:after="0" w:afterAutospacing="0"/>
              <w:ind w:left="0" w:right="0"/>
              <w:jc w:val="center"/>
              <w:rPr>
                <w:rFonts w:hint="default" w:cs="宋体"/>
                <w:b/>
                <w:bCs/>
                <w:kern w:val="0"/>
                <w:szCs w:val="21"/>
              </w:rPr>
            </w:pPr>
            <w:r>
              <w:rPr>
                <w:rFonts w:hint="default" w:cs="宋体"/>
                <w:b/>
                <w:bCs/>
                <w:kern w:val="0"/>
                <w:szCs w:val="21"/>
              </w:rPr>
              <w:t>金额（</w:t>
            </w:r>
            <w:r>
              <w:rPr>
                <w:rFonts w:hint="eastAsia" w:cs="宋体"/>
                <w:b/>
                <w:bCs/>
                <w:kern w:val="0"/>
                <w:szCs w:val="21"/>
              </w:rPr>
              <w:t>万</w:t>
            </w:r>
            <w:r>
              <w:rPr>
                <w:rFonts w:hint="default" w:cs="宋体"/>
                <w:b/>
                <w:bCs/>
                <w:kern w:val="0"/>
                <w:szCs w:val="21"/>
              </w:rPr>
              <w:t>元）</w:t>
            </w:r>
          </w:p>
        </w:tc>
        <w:tc>
          <w:tcPr>
            <w:tcW w:w="2229" w:type="dxa"/>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14:paraId="37D896FB">
            <w:pPr>
              <w:keepNext w:val="0"/>
              <w:keepLines w:val="0"/>
              <w:widowControl/>
              <w:suppressLineNumbers w:val="0"/>
              <w:spacing w:before="0" w:beforeAutospacing="0" w:after="0" w:afterAutospacing="0"/>
              <w:ind w:left="0" w:right="0"/>
              <w:jc w:val="center"/>
              <w:rPr>
                <w:rFonts w:hint="default" w:cs="宋体"/>
                <w:b/>
                <w:bCs/>
                <w:kern w:val="0"/>
                <w:szCs w:val="21"/>
              </w:rPr>
            </w:pPr>
            <w:r>
              <w:rPr>
                <w:rFonts w:hint="default" w:cs="宋体"/>
                <w:b/>
                <w:bCs/>
                <w:kern w:val="0"/>
                <w:szCs w:val="21"/>
              </w:rPr>
              <w:t>备注</w:t>
            </w:r>
          </w:p>
        </w:tc>
      </w:tr>
      <w:tr w14:paraId="4704087E">
        <w:tblPrEx>
          <w:tblCellMar>
            <w:top w:w="0" w:type="dxa"/>
            <w:left w:w="0" w:type="dxa"/>
            <w:bottom w:w="0" w:type="dxa"/>
            <w:right w:w="0" w:type="dxa"/>
          </w:tblCellMar>
        </w:tblPrEx>
        <w:trPr>
          <w:trHeight w:val="728" w:hRule="atLeast"/>
          <w:jc w:val="center"/>
        </w:trPr>
        <w:tc>
          <w:tcPr>
            <w:tcW w:w="981" w:type="dxa"/>
            <w:tcBorders>
              <w:top w:val="nil"/>
              <w:left w:val="single" w:color="000000" w:sz="6" w:space="0"/>
              <w:bottom w:val="single" w:color="000000" w:sz="6" w:space="0"/>
              <w:right w:val="single" w:color="000000" w:sz="6" w:space="0"/>
            </w:tcBorders>
            <w:tcMar>
              <w:top w:w="15" w:type="dxa"/>
              <w:left w:w="15" w:type="dxa"/>
              <w:bottom w:w="0" w:type="dxa"/>
              <w:right w:w="15" w:type="dxa"/>
            </w:tcMar>
            <w:vAlign w:val="center"/>
          </w:tcPr>
          <w:p w14:paraId="19DB2B20">
            <w:pPr>
              <w:keepNext w:val="0"/>
              <w:keepLines w:val="0"/>
              <w:widowControl/>
              <w:suppressLineNumbers w:val="0"/>
              <w:spacing w:before="0" w:beforeAutospacing="0" w:after="0" w:afterAutospacing="0"/>
              <w:ind w:left="0" w:right="0"/>
              <w:jc w:val="center"/>
              <w:rPr>
                <w:rFonts w:hint="default" w:cs="宋体"/>
                <w:kern w:val="0"/>
                <w:szCs w:val="21"/>
              </w:rPr>
            </w:pPr>
            <w:r>
              <w:rPr>
                <w:rFonts w:hint="default" w:cs="宋体"/>
                <w:kern w:val="0"/>
                <w:szCs w:val="21"/>
              </w:rPr>
              <w:t>01</w:t>
            </w:r>
          </w:p>
        </w:tc>
        <w:tc>
          <w:tcPr>
            <w:tcW w:w="3103"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35C1A8F5">
            <w:pPr>
              <w:keepNext w:val="0"/>
              <w:keepLines w:val="0"/>
              <w:widowControl/>
              <w:suppressLineNumbers w:val="0"/>
              <w:spacing w:before="0" w:beforeAutospacing="0" w:after="0" w:afterAutospacing="0"/>
              <w:ind w:left="0" w:right="0"/>
              <w:jc w:val="center"/>
              <w:rPr>
                <w:rFonts w:hint="default" w:cs="宋体"/>
                <w:kern w:val="0"/>
                <w:szCs w:val="21"/>
              </w:rPr>
            </w:pPr>
            <w:r>
              <w:rPr>
                <w:rFonts w:hint="eastAsia" w:cs="宋体"/>
                <w:kern w:val="0"/>
                <w:szCs w:val="21"/>
              </w:rPr>
              <w:t>设备费+建安费+整套启动试运费</w:t>
            </w:r>
          </w:p>
        </w:tc>
        <w:tc>
          <w:tcPr>
            <w:tcW w:w="2217"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3CC3AEBD">
            <w:pPr>
              <w:keepNext w:val="0"/>
              <w:keepLines w:val="0"/>
              <w:widowControl/>
              <w:suppressLineNumbers w:val="0"/>
              <w:spacing w:before="0" w:beforeAutospacing="0" w:after="0" w:afterAutospacing="0"/>
              <w:ind w:left="0" w:right="0"/>
              <w:jc w:val="center"/>
              <w:rPr>
                <w:rFonts w:hint="default" w:cs="宋体"/>
                <w:kern w:val="0"/>
                <w:szCs w:val="21"/>
              </w:rPr>
            </w:pPr>
          </w:p>
        </w:tc>
        <w:tc>
          <w:tcPr>
            <w:tcW w:w="2229"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0F6F21D6">
            <w:pPr>
              <w:keepNext w:val="0"/>
              <w:keepLines w:val="0"/>
              <w:widowControl/>
              <w:suppressLineNumbers w:val="0"/>
              <w:spacing w:before="0" w:beforeAutospacing="0" w:after="0" w:afterAutospacing="0"/>
              <w:ind w:left="0" w:right="0"/>
              <w:jc w:val="center"/>
              <w:rPr>
                <w:rFonts w:hint="default" w:cs="宋体"/>
                <w:kern w:val="0"/>
                <w:szCs w:val="21"/>
              </w:rPr>
            </w:pPr>
          </w:p>
        </w:tc>
      </w:tr>
      <w:tr w14:paraId="311C5BD1">
        <w:tblPrEx>
          <w:tblCellMar>
            <w:top w:w="0" w:type="dxa"/>
            <w:left w:w="0" w:type="dxa"/>
            <w:bottom w:w="0" w:type="dxa"/>
            <w:right w:w="0" w:type="dxa"/>
          </w:tblCellMar>
        </w:tblPrEx>
        <w:trPr>
          <w:trHeight w:val="728" w:hRule="atLeast"/>
          <w:jc w:val="center"/>
        </w:trPr>
        <w:tc>
          <w:tcPr>
            <w:tcW w:w="981" w:type="dxa"/>
            <w:tcBorders>
              <w:top w:val="nil"/>
              <w:left w:val="single" w:color="000000" w:sz="6" w:space="0"/>
              <w:bottom w:val="single" w:color="000000" w:sz="6" w:space="0"/>
              <w:right w:val="single" w:color="000000" w:sz="6" w:space="0"/>
            </w:tcBorders>
            <w:tcMar>
              <w:top w:w="15" w:type="dxa"/>
              <w:left w:w="15" w:type="dxa"/>
              <w:bottom w:w="0" w:type="dxa"/>
              <w:right w:w="15" w:type="dxa"/>
            </w:tcMar>
            <w:vAlign w:val="center"/>
          </w:tcPr>
          <w:p w14:paraId="62D3F98A">
            <w:pPr>
              <w:keepNext w:val="0"/>
              <w:keepLines w:val="0"/>
              <w:widowControl/>
              <w:suppressLineNumbers w:val="0"/>
              <w:spacing w:before="0" w:beforeAutospacing="0" w:after="0" w:afterAutospacing="0"/>
              <w:ind w:left="0" w:right="0"/>
              <w:jc w:val="center"/>
              <w:rPr>
                <w:rFonts w:hint="default" w:cs="宋体"/>
                <w:kern w:val="0"/>
                <w:szCs w:val="21"/>
              </w:rPr>
            </w:pPr>
            <w:r>
              <w:rPr>
                <w:rFonts w:hint="default" w:cs="宋体"/>
                <w:kern w:val="0"/>
                <w:szCs w:val="21"/>
              </w:rPr>
              <w:t>02</w:t>
            </w:r>
          </w:p>
        </w:tc>
        <w:tc>
          <w:tcPr>
            <w:tcW w:w="3103"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582AACFD">
            <w:pPr>
              <w:keepNext w:val="0"/>
              <w:keepLines w:val="0"/>
              <w:widowControl/>
              <w:suppressLineNumbers w:val="0"/>
              <w:spacing w:before="0" w:beforeAutospacing="0" w:after="0" w:afterAutospacing="0"/>
              <w:ind w:left="0" w:right="0"/>
              <w:jc w:val="center"/>
              <w:rPr>
                <w:rFonts w:hint="default" w:cs="宋体"/>
                <w:kern w:val="0"/>
                <w:szCs w:val="21"/>
              </w:rPr>
            </w:pPr>
            <w:r>
              <w:rPr>
                <w:rFonts w:hint="eastAsia" w:cs="宋体"/>
                <w:kern w:val="0"/>
                <w:szCs w:val="21"/>
              </w:rPr>
              <w:t>设计费及项目管理费</w:t>
            </w:r>
          </w:p>
        </w:tc>
        <w:tc>
          <w:tcPr>
            <w:tcW w:w="2217"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43DCBCE9">
            <w:pPr>
              <w:keepNext w:val="0"/>
              <w:keepLines w:val="0"/>
              <w:widowControl/>
              <w:suppressLineNumbers w:val="0"/>
              <w:spacing w:before="0" w:beforeAutospacing="0" w:after="0" w:afterAutospacing="0"/>
              <w:ind w:left="0" w:right="0"/>
              <w:jc w:val="center"/>
              <w:rPr>
                <w:rFonts w:hint="default" w:cs="宋体"/>
                <w:kern w:val="0"/>
                <w:szCs w:val="21"/>
              </w:rPr>
            </w:pPr>
          </w:p>
        </w:tc>
        <w:tc>
          <w:tcPr>
            <w:tcW w:w="2229"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23BAA3A9">
            <w:pPr>
              <w:keepNext w:val="0"/>
              <w:keepLines w:val="0"/>
              <w:widowControl/>
              <w:suppressLineNumbers w:val="0"/>
              <w:spacing w:before="0" w:beforeAutospacing="0" w:after="0" w:afterAutospacing="0"/>
              <w:ind w:left="0" w:right="0"/>
              <w:jc w:val="center"/>
              <w:rPr>
                <w:rFonts w:hint="default" w:cs="宋体"/>
                <w:kern w:val="0"/>
                <w:szCs w:val="21"/>
              </w:rPr>
            </w:pPr>
          </w:p>
        </w:tc>
      </w:tr>
      <w:tr w14:paraId="265CC0E1">
        <w:tblPrEx>
          <w:tblCellMar>
            <w:top w:w="0" w:type="dxa"/>
            <w:left w:w="0" w:type="dxa"/>
            <w:bottom w:w="0" w:type="dxa"/>
            <w:right w:w="0" w:type="dxa"/>
          </w:tblCellMar>
        </w:tblPrEx>
        <w:trPr>
          <w:trHeight w:val="728" w:hRule="atLeast"/>
          <w:jc w:val="center"/>
        </w:trPr>
        <w:tc>
          <w:tcPr>
            <w:tcW w:w="981" w:type="dxa"/>
            <w:tcBorders>
              <w:top w:val="nil"/>
              <w:left w:val="single" w:color="000000" w:sz="6" w:space="0"/>
              <w:bottom w:val="single" w:color="000000" w:sz="6" w:space="0"/>
              <w:right w:val="single" w:color="000000" w:sz="6" w:space="0"/>
            </w:tcBorders>
            <w:tcMar>
              <w:top w:w="15" w:type="dxa"/>
              <w:left w:w="15" w:type="dxa"/>
              <w:bottom w:w="0" w:type="dxa"/>
              <w:right w:w="15" w:type="dxa"/>
            </w:tcMar>
            <w:vAlign w:val="center"/>
          </w:tcPr>
          <w:p w14:paraId="3C035D16">
            <w:pPr>
              <w:keepNext w:val="0"/>
              <w:keepLines w:val="0"/>
              <w:widowControl/>
              <w:suppressLineNumbers w:val="0"/>
              <w:spacing w:before="0" w:beforeAutospacing="0" w:after="0" w:afterAutospacing="0"/>
              <w:ind w:left="0" w:right="0"/>
              <w:jc w:val="center"/>
              <w:rPr>
                <w:rFonts w:hint="default" w:cs="宋体"/>
                <w:kern w:val="0"/>
                <w:szCs w:val="21"/>
              </w:rPr>
            </w:pPr>
            <w:r>
              <w:rPr>
                <w:rFonts w:hint="eastAsia" w:cs="宋体"/>
                <w:kern w:val="0"/>
                <w:szCs w:val="21"/>
              </w:rPr>
              <w:t>03</w:t>
            </w:r>
          </w:p>
        </w:tc>
        <w:tc>
          <w:tcPr>
            <w:tcW w:w="3103"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51D7D4BF">
            <w:pPr>
              <w:keepNext w:val="0"/>
              <w:keepLines w:val="0"/>
              <w:widowControl/>
              <w:suppressLineNumbers w:val="0"/>
              <w:spacing w:before="0" w:beforeAutospacing="0" w:after="0" w:afterAutospacing="0"/>
              <w:ind w:left="0" w:right="0"/>
              <w:jc w:val="center"/>
              <w:rPr>
                <w:rFonts w:hint="default" w:cs="宋体"/>
                <w:b/>
                <w:kern w:val="0"/>
                <w:szCs w:val="21"/>
              </w:rPr>
            </w:pPr>
            <w:r>
              <w:rPr>
                <w:rFonts w:hint="eastAsia" w:cs="宋体"/>
                <w:b/>
                <w:kern w:val="0"/>
                <w:szCs w:val="21"/>
              </w:rPr>
              <w:t>投标</w:t>
            </w:r>
            <w:r>
              <w:rPr>
                <w:rFonts w:hint="default" w:cs="宋体"/>
                <w:b/>
                <w:kern w:val="0"/>
                <w:szCs w:val="21"/>
              </w:rPr>
              <w:t>报价总价</w:t>
            </w:r>
          </w:p>
        </w:tc>
        <w:tc>
          <w:tcPr>
            <w:tcW w:w="2217"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03577381">
            <w:pPr>
              <w:keepNext w:val="0"/>
              <w:keepLines w:val="0"/>
              <w:widowControl/>
              <w:suppressLineNumbers w:val="0"/>
              <w:spacing w:before="0" w:beforeAutospacing="0" w:after="0" w:afterAutospacing="0"/>
              <w:ind w:left="0" w:right="0"/>
              <w:jc w:val="center"/>
              <w:rPr>
                <w:rFonts w:hint="default" w:cs="宋体"/>
                <w:kern w:val="0"/>
                <w:szCs w:val="21"/>
              </w:rPr>
            </w:pPr>
          </w:p>
        </w:tc>
        <w:tc>
          <w:tcPr>
            <w:tcW w:w="2229" w:type="dxa"/>
            <w:tcBorders>
              <w:top w:val="nil"/>
              <w:left w:val="nil"/>
              <w:bottom w:val="single" w:color="000000" w:sz="6" w:space="0"/>
              <w:right w:val="single" w:color="000000" w:sz="6" w:space="0"/>
            </w:tcBorders>
            <w:tcMar>
              <w:top w:w="15" w:type="dxa"/>
              <w:left w:w="15" w:type="dxa"/>
              <w:bottom w:w="0" w:type="dxa"/>
              <w:right w:w="15" w:type="dxa"/>
            </w:tcMar>
            <w:vAlign w:val="center"/>
          </w:tcPr>
          <w:p w14:paraId="7259F1D9">
            <w:pPr>
              <w:keepNext w:val="0"/>
              <w:keepLines w:val="0"/>
              <w:widowControl/>
              <w:suppressLineNumbers w:val="0"/>
              <w:spacing w:before="0" w:beforeAutospacing="0" w:after="0" w:afterAutospacing="0"/>
              <w:ind w:left="0" w:right="0"/>
              <w:jc w:val="center"/>
              <w:rPr>
                <w:rFonts w:hint="default" w:cs="宋体"/>
                <w:kern w:val="0"/>
                <w:szCs w:val="21"/>
              </w:rPr>
            </w:pPr>
          </w:p>
        </w:tc>
      </w:tr>
    </w:tbl>
    <w:p w14:paraId="49E7F48B">
      <w:pPr>
        <w:pStyle w:val="12"/>
        <w:ind w:firstLine="422"/>
        <w:rPr>
          <w:b/>
          <w:szCs w:val="21"/>
        </w:rPr>
      </w:pPr>
    </w:p>
    <w:p w14:paraId="013952A1">
      <w:pPr>
        <w:pStyle w:val="12"/>
        <w:ind w:firstLine="422"/>
        <w:rPr>
          <w:b/>
          <w:szCs w:val="21"/>
        </w:rPr>
      </w:pPr>
    </w:p>
    <w:p w14:paraId="559D4FBF">
      <w:pPr>
        <w:pStyle w:val="12"/>
        <w:ind w:firstLine="422"/>
        <w:rPr>
          <w:b/>
          <w:szCs w:val="21"/>
        </w:rPr>
      </w:pPr>
    </w:p>
    <w:p w14:paraId="73018BE0">
      <w:pPr>
        <w:pStyle w:val="12"/>
        <w:ind w:firstLine="422"/>
        <w:rPr>
          <w:b/>
          <w:szCs w:val="21"/>
        </w:rPr>
      </w:pPr>
    </w:p>
    <w:p w14:paraId="363B96E6">
      <w:pPr>
        <w:pStyle w:val="12"/>
        <w:ind w:firstLine="422"/>
        <w:rPr>
          <w:b/>
          <w:szCs w:val="21"/>
        </w:rPr>
      </w:pPr>
    </w:p>
    <w:p w14:paraId="5558EE96">
      <w:pPr>
        <w:pStyle w:val="12"/>
        <w:ind w:firstLine="422"/>
        <w:rPr>
          <w:b/>
          <w:szCs w:val="21"/>
        </w:rPr>
      </w:pPr>
    </w:p>
    <w:p w14:paraId="76AE58C9">
      <w:pPr>
        <w:pStyle w:val="12"/>
        <w:ind w:firstLine="422"/>
        <w:rPr>
          <w:b/>
          <w:szCs w:val="21"/>
        </w:rPr>
      </w:pPr>
    </w:p>
    <w:p w14:paraId="57F91BDD">
      <w:pPr>
        <w:pStyle w:val="12"/>
        <w:ind w:firstLine="422"/>
        <w:rPr>
          <w:b/>
          <w:szCs w:val="21"/>
        </w:rPr>
      </w:pPr>
    </w:p>
    <w:p w14:paraId="5B80CD2D">
      <w:pPr>
        <w:pStyle w:val="12"/>
        <w:ind w:firstLine="422"/>
        <w:rPr>
          <w:b/>
          <w:szCs w:val="21"/>
        </w:rPr>
      </w:pPr>
    </w:p>
    <w:p w14:paraId="77DC57C1">
      <w:pPr>
        <w:pStyle w:val="12"/>
        <w:ind w:firstLine="422"/>
        <w:rPr>
          <w:b/>
          <w:szCs w:val="21"/>
        </w:rPr>
      </w:pPr>
    </w:p>
    <w:p w14:paraId="1A49430B">
      <w:pPr>
        <w:pStyle w:val="12"/>
        <w:ind w:firstLine="422"/>
        <w:rPr>
          <w:b/>
          <w:szCs w:val="21"/>
        </w:rPr>
      </w:pPr>
    </w:p>
    <w:p w14:paraId="2C7B9CB8">
      <w:pPr>
        <w:widowControl/>
        <w:rPr>
          <w:rFonts w:ascii="方正仿宋_GBK" w:eastAsia="方正仿宋_GBK" w:cs="宋体"/>
          <w:b/>
          <w:bCs/>
          <w:kern w:val="0"/>
          <w:sz w:val="24"/>
          <w:szCs w:val="21"/>
        </w:rPr>
      </w:pPr>
    </w:p>
    <w:p w14:paraId="4747DC98">
      <w:pPr>
        <w:widowControl/>
        <w:jc w:val="left"/>
        <w:rPr>
          <w:szCs w:val="21"/>
        </w:rPr>
      </w:pPr>
      <w:r>
        <w:rPr>
          <w:rFonts w:ascii="方正仿宋_GBK" w:eastAsia="方正仿宋_GBK" w:cs="宋体"/>
          <w:b/>
          <w:bCs/>
          <w:kern w:val="0"/>
          <w:sz w:val="24"/>
          <w:szCs w:val="21"/>
        </w:rPr>
        <w:br w:type="page"/>
      </w:r>
    </w:p>
    <w:bookmarkEnd w:id="466"/>
    <w:bookmarkEnd w:id="467"/>
    <w:bookmarkEnd w:id="468"/>
    <w:bookmarkEnd w:id="469"/>
    <w:bookmarkEnd w:id="470"/>
    <w:bookmarkEnd w:id="471"/>
    <w:p w14:paraId="14632B2C">
      <w:pPr>
        <w:pStyle w:val="3"/>
        <w:keepNext/>
        <w:keepLines/>
        <w:tabs>
          <w:tab w:val="clear" w:pos="425"/>
          <w:tab w:val="clear" w:pos="851"/>
        </w:tabs>
        <w:spacing w:before="260" w:after="260"/>
        <w:jc w:val="center"/>
        <w:rPr>
          <w:rFonts w:ascii="黑体" w:hAnsi="黑体" w:eastAsia="黑体"/>
          <w:sz w:val="32"/>
          <w:szCs w:val="44"/>
        </w:rPr>
      </w:pPr>
      <w:bookmarkStart w:id="472" w:name="_Toc115196122"/>
      <w:r>
        <w:rPr>
          <w:rFonts w:hint="eastAsia" w:ascii="黑体" w:hAnsi="黑体" w:eastAsia="黑体"/>
          <w:sz w:val="32"/>
          <w:szCs w:val="44"/>
        </w:rPr>
        <w:t>六、承包人建议书</w:t>
      </w:r>
      <w:bookmarkEnd w:id="472"/>
    </w:p>
    <w:p w14:paraId="194630FB">
      <w:pPr>
        <w:rPr>
          <w:rFonts w:ascii="黑体" w:hAnsi="黑体" w:eastAsia="黑体"/>
          <w:sz w:val="28"/>
          <w:szCs w:val="28"/>
        </w:rPr>
      </w:pPr>
      <w:r>
        <w:rPr>
          <w:rFonts w:hint="eastAsia" w:ascii="黑体" w:hAnsi="黑体" w:eastAsia="黑体"/>
          <w:sz w:val="28"/>
          <w:szCs w:val="28"/>
        </w:rPr>
        <w:t>（一）工程设计详细说明及图纸（可附附件，含电子版</w:t>
      </w:r>
      <w:r>
        <w:rPr>
          <w:rFonts w:ascii="黑体" w:hAnsi="黑体" w:eastAsia="黑体"/>
          <w:sz w:val="28"/>
          <w:szCs w:val="28"/>
        </w:rPr>
        <w:t>CAD图纸）</w:t>
      </w:r>
    </w:p>
    <w:p w14:paraId="50BA97AA">
      <w:pPr>
        <w:pStyle w:val="45"/>
        <w:ind w:firstLine="0" w:firstLineChars="0"/>
        <w:rPr>
          <w:rFonts w:ascii="黑体" w:hAnsi="黑体" w:eastAsia="黑体"/>
          <w:sz w:val="28"/>
          <w:szCs w:val="28"/>
        </w:rPr>
      </w:pPr>
      <w:r>
        <w:rPr>
          <w:rFonts w:hint="eastAsia" w:ascii="黑体" w:hAnsi="黑体" w:eastAsia="黑体"/>
          <w:sz w:val="28"/>
          <w:szCs w:val="28"/>
        </w:rPr>
        <w:t>（二）对发包人要求错误的说明</w:t>
      </w:r>
    </w:p>
    <w:p w14:paraId="7EAB41B9">
      <w:pPr>
        <w:rPr>
          <w:rFonts w:eastAsia="黑体"/>
          <w:szCs w:val="21"/>
        </w:rPr>
      </w:pPr>
      <w:r>
        <w:rPr>
          <w:rFonts w:hint="eastAsia" w:eastAsia="黑体"/>
          <w:sz w:val="28"/>
          <w:szCs w:val="28"/>
        </w:rPr>
        <w:t>（三）其他</w:t>
      </w:r>
    </w:p>
    <w:p w14:paraId="6C655EE5"/>
    <w:p w14:paraId="380DC22F">
      <w:pPr>
        <w:pStyle w:val="45"/>
        <w:ind w:firstLine="420"/>
      </w:pPr>
    </w:p>
    <w:p w14:paraId="7EAA3AE9">
      <w:pPr>
        <w:widowControl/>
        <w:spacing w:line="240" w:lineRule="auto"/>
        <w:jc w:val="left"/>
        <w:rPr>
          <w:rFonts w:ascii="Arial" w:hAnsi="Arial" w:eastAsia="黑体"/>
          <w:b/>
          <w:bCs/>
          <w:sz w:val="28"/>
          <w:szCs w:val="28"/>
        </w:rPr>
      </w:pPr>
      <w:bookmarkStart w:id="473" w:name="_Toc61968493"/>
      <w:r>
        <w:rPr>
          <w:sz w:val="28"/>
          <w:szCs w:val="28"/>
        </w:rPr>
        <w:br w:type="page"/>
      </w:r>
    </w:p>
    <w:p w14:paraId="7DC0EBD8">
      <w:pPr>
        <w:pStyle w:val="3"/>
        <w:keepNext/>
        <w:keepLines/>
        <w:tabs>
          <w:tab w:val="clear" w:pos="425"/>
          <w:tab w:val="clear" w:pos="851"/>
        </w:tabs>
        <w:spacing w:before="260" w:after="260"/>
        <w:jc w:val="center"/>
        <w:rPr>
          <w:rFonts w:ascii="黑体" w:hAnsi="黑体" w:eastAsia="黑体"/>
          <w:sz w:val="32"/>
          <w:szCs w:val="44"/>
        </w:rPr>
      </w:pPr>
      <w:bookmarkStart w:id="474" w:name="_Toc98504157"/>
      <w:bookmarkStart w:id="475" w:name="_Toc115196123"/>
      <w:r>
        <w:rPr>
          <w:rFonts w:hint="eastAsia" w:ascii="黑体" w:hAnsi="黑体" w:eastAsia="黑体"/>
          <w:sz w:val="32"/>
          <w:szCs w:val="44"/>
        </w:rPr>
        <w:t>七</w:t>
      </w:r>
      <w:r>
        <w:rPr>
          <w:rFonts w:ascii="黑体" w:hAnsi="黑体" w:eastAsia="黑体"/>
          <w:sz w:val="32"/>
          <w:szCs w:val="44"/>
        </w:rPr>
        <w:t>、</w:t>
      </w:r>
      <w:bookmarkEnd w:id="473"/>
      <w:r>
        <w:rPr>
          <w:rFonts w:hint="eastAsia" w:ascii="黑体" w:hAnsi="黑体" w:eastAsia="黑体"/>
          <w:sz w:val="32"/>
          <w:szCs w:val="44"/>
        </w:rPr>
        <w:t>承包人实施方案</w:t>
      </w:r>
      <w:bookmarkEnd w:id="474"/>
      <w:bookmarkEnd w:id="475"/>
    </w:p>
    <w:p w14:paraId="09712213">
      <w:pPr>
        <w:rPr>
          <w:rFonts w:hint="eastAsia" w:ascii="黑体" w:hAnsi="黑体" w:eastAsia="黑体"/>
          <w:color w:val="000000" w:themeColor="text1"/>
          <w:sz w:val="28"/>
          <w:szCs w:val="28"/>
          <w14:textFill>
            <w14:solidFill>
              <w14:schemeClr w14:val="tx1"/>
            </w14:solidFill>
          </w14:textFill>
          <w:woUserID w:val="0"/>
        </w:rPr>
      </w:pPr>
      <w:r>
        <w:rPr>
          <w:rFonts w:hint="eastAsia" w:ascii="黑体" w:hAnsi="黑体" w:eastAsia="黑体"/>
          <w:color w:val="000000" w:themeColor="text1"/>
          <w:sz w:val="28"/>
          <w:szCs w:val="28"/>
          <w:lang w:val="en-US" w:eastAsia="zh-CN"/>
          <w14:textFill>
            <w14:solidFill>
              <w14:schemeClr w14:val="tx1"/>
            </w14:solidFill>
          </w14:textFill>
          <w:woUserID w:val="0"/>
        </w:rPr>
        <w:t>一、</w:t>
      </w:r>
      <w:r>
        <w:rPr>
          <w:rFonts w:hint="eastAsia" w:ascii="黑体" w:hAnsi="黑体" w:eastAsia="黑体"/>
          <w:color w:val="000000" w:themeColor="text1"/>
          <w:sz w:val="28"/>
          <w:szCs w:val="28"/>
          <w14:textFill>
            <w14:solidFill>
              <w14:schemeClr w14:val="tx1"/>
            </w14:solidFill>
          </w14:textFill>
          <w:woUserID w:val="0"/>
        </w:rPr>
        <w:t>概述</w:t>
      </w:r>
    </w:p>
    <w:p w14:paraId="39EFBBDA">
      <w:pPr>
        <w:numPr>
          <w:ilvl w:val="-1"/>
          <w:numId w:val="0"/>
        </w:numPr>
        <w:rPr>
          <w:rFonts w:hint="eastAsia" w:ascii="黑体" w:hAnsi="黑体" w:eastAsia="黑体"/>
          <w:color w:val="000000" w:themeColor="text1"/>
          <w:sz w:val="28"/>
          <w:szCs w:val="28"/>
          <w14:textFill>
            <w14:solidFill>
              <w14:schemeClr w14:val="tx1"/>
            </w14:solidFill>
          </w14:textFill>
          <w:woUserID w:val="0"/>
        </w:rPr>
      </w:pPr>
      <w:r>
        <w:rPr>
          <w:rFonts w:hint="eastAsia" w:ascii="黑体" w:hAnsi="黑体" w:eastAsia="黑体"/>
          <w:color w:val="000000" w:themeColor="text1"/>
          <w:sz w:val="28"/>
          <w:szCs w:val="28"/>
          <w:lang w:val="en-US" w:eastAsia="zh-CN"/>
          <w14:textFill>
            <w14:solidFill>
              <w14:schemeClr w14:val="tx1"/>
            </w14:solidFill>
          </w14:textFill>
          <w:woUserID w:val="0"/>
        </w:rPr>
        <w:t>二、</w:t>
      </w:r>
      <w:r>
        <w:rPr>
          <w:rFonts w:hint="eastAsia" w:ascii="黑体" w:hAnsi="黑体" w:eastAsia="黑体"/>
          <w:color w:val="000000" w:themeColor="text1"/>
          <w:sz w:val="28"/>
          <w:szCs w:val="28"/>
          <w14:textFill>
            <w14:solidFill>
              <w14:schemeClr w14:val="tx1"/>
            </w14:solidFill>
          </w14:textFill>
          <w:woUserID w:val="0"/>
        </w:rPr>
        <w:t>总体实施方案</w:t>
      </w:r>
    </w:p>
    <w:p w14:paraId="3ACA18FC">
      <w:pPr>
        <w:numPr>
          <w:ilvl w:val="-1"/>
          <w:numId w:val="0"/>
        </w:numPr>
        <w:rPr>
          <w:rFonts w:hint="eastAsia" w:ascii="黑体" w:hAnsi="黑体" w:eastAsia="黑体"/>
          <w:color w:val="000000" w:themeColor="text1"/>
          <w:sz w:val="28"/>
          <w:szCs w:val="28"/>
          <w14:textFill>
            <w14:solidFill>
              <w14:schemeClr w14:val="tx1"/>
            </w14:solidFill>
          </w14:textFill>
          <w:woUserID w:val="0"/>
        </w:rPr>
      </w:pPr>
      <w:r>
        <w:rPr>
          <w:rFonts w:hint="eastAsia" w:ascii="黑体" w:hAnsi="黑体" w:eastAsia="黑体"/>
          <w:color w:val="000000" w:themeColor="text1"/>
          <w:sz w:val="28"/>
          <w:szCs w:val="28"/>
          <w:lang w:val="en-US" w:eastAsia="zh-CN"/>
          <w14:textFill>
            <w14:solidFill>
              <w14:schemeClr w14:val="tx1"/>
            </w14:solidFill>
          </w14:textFill>
          <w:woUserID w:val="0"/>
        </w:rPr>
        <w:t>三、</w:t>
      </w:r>
      <w:r>
        <w:rPr>
          <w:rFonts w:hint="eastAsia" w:ascii="黑体" w:hAnsi="黑体" w:eastAsia="黑体"/>
          <w:color w:val="000000" w:themeColor="text1"/>
          <w:sz w:val="28"/>
          <w:szCs w:val="28"/>
          <w14:textFill>
            <w14:solidFill>
              <w14:schemeClr w14:val="tx1"/>
            </w14:solidFill>
          </w14:textFill>
          <w:woUserID w:val="0"/>
        </w:rPr>
        <w:t>项目实施要点</w:t>
      </w:r>
    </w:p>
    <w:p w14:paraId="651A9D33">
      <w:pPr>
        <w:numPr>
          <w:ilvl w:val="-1"/>
          <w:numId w:val="0"/>
        </w:numPr>
        <w:rPr>
          <w:rFonts w:hint="eastAsia" w:ascii="黑体" w:hAnsi="黑体" w:eastAsia="黑体"/>
          <w:color w:val="000000" w:themeColor="text1"/>
          <w:sz w:val="28"/>
          <w:szCs w:val="28"/>
          <w14:textFill>
            <w14:solidFill>
              <w14:schemeClr w14:val="tx1"/>
            </w14:solidFill>
          </w14:textFill>
          <w:woUserID w:val="0"/>
        </w:rPr>
      </w:pPr>
      <w:r>
        <w:rPr>
          <w:rFonts w:hint="eastAsia" w:ascii="黑体" w:hAnsi="黑体" w:eastAsia="黑体"/>
          <w:color w:val="000000" w:themeColor="text1"/>
          <w:sz w:val="28"/>
          <w:szCs w:val="28"/>
          <w:lang w:val="en-US" w:eastAsia="zh-CN"/>
          <w14:textFill>
            <w14:solidFill>
              <w14:schemeClr w14:val="tx1"/>
            </w14:solidFill>
          </w14:textFill>
          <w:woUserID w:val="0"/>
        </w:rPr>
        <w:t>四、</w:t>
      </w:r>
      <w:r>
        <w:rPr>
          <w:rFonts w:hint="eastAsia" w:ascii="黑体" w:hAnsi="黑体" w:eastAsia="黑体"/>
          <w:color w:val="000000" w:themeColor="text1"/>
          <w:sz w:val="28"/>
          <w:szCs w:val="28"/>
          <w14:textFill>
            <w14:solidFill>
              <w14:schemeClr w14:val="tx1"/>
            </w14:solidFill>
          </w14:textFill>
          <w:woUserID w:val="0"/>
        </w:rPr>
        <w:t>项目管理要点</w:t>
      </w:r>
    </w:p>
    <w:p w14:paraId="7DC06960">
      <w:pPr>
        <w:widowControl/>
        <w:spacing w:line="240" w:lineRule="auto"/>
        <w:jc w:val="left"/>
        <w:rPr>
          <w:rFonts w:ascii="Arial" w:hAnsi="Arial" w:eastAsia="黑体"/>
          <w:b/>
          <w:bCs/>
          <w:sz w:val="28"/>
          <w:szCs w:val="28"/>
        </w:rPr>
      </w:pPr>
      <w:bookmarkStart w:id="476" w:name="_Toc61968494"/>
      <w:r>
        <w:rPr>
          <w:sz w:val="28"/>
          <w:szCs w:val="28"/>
        </w:rPr>
        <w:br w:type="page"/>
      </w:r>
    </w:p>
    <w:p w14:paraId="67FE0A87">
      <w:pPr>
        <w:pStyle w:val="3"/>
        <w:keepNext/>
        <w:keepLines/>
        <w:tabs>
          <w:tab w:val="clear" w:pos="425"/>
          <w:tab w:val="clear" w:pos="851"/>
        </w:tabs>
        <w:spacing w:before="260" w:after="260"/>
        <w:jc w:val="center"/>
        <w:rPr>
          <w:rFonts w:ascii="黑体" w:hAnsi="黑体" w:eastAsia="黑体"/>
          <w:sz w:val="32"/>
          <w:szCs w:val="44"/>
        </w:rPr>
      </w:pPr>
      <w:bookmarkStart w:id="477" w:name="_Toc115196124"/>
      <w:bookmarkStart w:id="478" w:name="_Toc98504158"/>
      <w:r>
        <w:rPr>
          <w:rFonts w:hint="eastAsia" w:ascii="黑体" w:hAnsi="黑体" w:eastAsia="黑体"/>
          <w:sz w:val="32"/>
          <w:szCs w:val="44"/>
        </w:rPr>
        <w:t>八、</w:t>
      </w:r>
      <w:bookmarkStart w:id="479" w:name="_Toc144974875"/>
      <w:bookmarkStart w:id="480" w:name="_Toc247514299"/>
      <w:bookmarkStart w:id="481" w:name="_Toc247527847"/>
      <w:bookmarkStart w:id="482" w:name="_Toc152042596"/>
      <w:bookmarkStart w:id="483" w:name="_Toc152045807"/>
      <w:r>
        <w:rPr>
          <w:rFonts w:ascii="黑体" w:hAnsi="黑体" w:eastAsia="黑体"/>
          <w:sz w:val="32"/>
          <w:szCs w:val="44"/>
        </w:rPr>
        <w:t>资格审查资料</w:t>
      </w:r>
      <w:bookmarkEnd w:id="476"/>
      <w:bookmarkEnd w:id="477"/>
      <w:bookmarkEnd w:id="478"/>
      <w:bookmarkEnd w:id="479"/>
      <w:bookmarkEnd w:id="480"/>
      <w:bookmarkEnd w:id="481"/>
      <w:bookmarkEnd w:id="482"/>
      <w:bookmarkEnd w:id="483"/>
    </w:p>
    <w:p w14:paraId="006A838D">
      <w:pPr>
        <w:ind w:firstLine="420" w:firstLineChars="200"/>
        <w:rPr>
          <w:rFonts w:cs="宋体"/>
          <w:bCs/>
        </w:rPr>
      </w:pPr>
      <w:bookmarkStart w:id="484" w:name="_Toc152045808"/>
      <w:bookmarkStart w:id="485" w:name="_Toc144974876"/>
      <w:bookmarkStart w:id="486" w:name="_Toc247527848"/>
      <w:bookmarkStart w:id="487" w:name="_Toc152042597"/>
      <w:bookmarkStart w:id="488" w:name="_Toc247514300"/>
      <w:bookmarkStart w:id="489" w:name="_Toc61968495"/>
      <w:r>
        <w:rPr>
          <w:rFonts w:cs="宋体"/>
        </w:rPr>
        <w:t>1.</w:t>
      </w:r>
      <w:r>
        <w:rPr>
          <w:rFonts w:hint="eastAsia" w:cs="宋体"/>
          <w:bCs/>
        </w:rPr>
        <w:t>投标人加载统一社会信用代码的营业执照副本。（</w:t>
      </w:r>
      <w:r>
        <w:rPr>
          <w:rFonts w:hint="eastAsia" w:cs="宋体"/>
          <w:bCs/>
          <w:lang w:bidi="ar"/>
        </w:rPr>
        <w:t>提供原件扫描件</w:t>
      </w:r>
      <w:r>
        <w:rPr>
          <w:rFonts w:hint="eastAsia" w:cs="宋体"/>
          <w:bCs/>
        </w:rPr>
        <w:t>）</w:t>
      </w:r>
    </w:p>
    <w:p w14:paraId="0FEC7DA7">
      <w:pPr>
        <w:ind w:firstLine="420" w:firstLineChars="200"/>
        <w:rPr>
          <w:rFonts w:cs="宋体"/>
          <w:bCs/>
        </w:rPr>
      </w:pPr>
      <w:r>
        <w:rPr>
          <w:rFonts w:cs="宋体"/>
          <w:bCs/>
        </w:rPr>
        <w:t>2.法定代表人证明或法定代表人授权书。（</w:t>
      </w:r>
      <w:r>
        <w:rPr>
          <w:rFonts w:hint="eastAsia" w:cs="宋体"/>
          <w:bCs/>
          <w:lang w:bidi="ar"/>
        </w:rPr>
        <w:t>提供原件扫描件</w:t>
      </w:r>
      <w:r>
        <w:rPr>
          <w:rFonts w:hint="eastAsia" w:cs="宋体"/>
          <w:bCs/>
        </w:rPr>
        <w:t>）</w:t>
      </w:r>
    </w:p>
    <w:p w14:paraId="2D91B94F">
      <w:pPr>
        <w:ind w:firstLine="420" w:firstLineChars="200"/>
        <w:rPr>
          <w:rFonts w:cs="宋体"/>
          <w:bCs/>
        </w:rPr>
      </w:pPr>
      <w:r>
        <w:rPr>
          <w:rFonts w:cs="宋体"/>
          <w:bCs/>
        </w:rPr>
        <w:t>3.投标人法定代表人或委托代理人身份证。（</w:t>
      </w:r>
      <w:r>
        <w:rPr>
          <w:rFonts w:hint="eastAsia" w:cs="宋体"/>
          <w:bCs/>
          <w:lang w:bidi="ar"/>
        </w:rPr>
        <w:t>提供原件扫描件</w:t>
      </w:r>
      <w:r>
        <w:rPr>
          <w:rFonts w:hint="eastAsia" w:cs="宋体"/>
          <w:bCs/>
        </w:rPr>
        <w:t>）</w:t>
      </w:r>
      <w:bookmarkStart w:id="490" w:name="_Hlk57386115"/>
    </w:p>
    <w:bookmarkEnd w:id="490"/>
    <w:p w14:paraId="29139485">
      <w:pPr>
        <w:ind w:firstLine="420" w:firstLineChars="200"/>
        <w:rPr>
          <w:rFonts w:cs="宋体"/>
          <w:bCs/>
        </w:rPr>
      </w:pPr>
      <w:r>
        <w:rPr>
          <w:rFonts w:hint="eastAsia" w:cs="宋体"/>
          <w:bCs/>
          <w:lang w:val="en-US" w:eastAsia="zh-CN"/>
        </w:rPr>
        <w:t>4</w:t>
      </w:r>
      <w:r>
        <w:rPr>
          <w:rFonts w:cs="宋体"/>
          <w:bCs/>
        </w:rPr>
        <w:t>.投标人承诺书</w:t>
      </w:r>
      <w:r>
        <w:rPr>
          <w:rFonts w:hint="eastAsia" w:cs="宋体"/>
          <w:bCs/>
        </w:rPr>
        <w:t>、项目主要人员承诺书</w:t>
      </w:r>
      <w:r>
        <w:rPr>
          <w:rFonts w:cs="宋体"/>
          <w:bCs/>
        </w:rPr>
        <w:t>。</w:t>
      </w:r>
      <w:r>
        <w:rPr>
          <w:rFonts w:hint="eastAsia" w:cs="宋体"/>
          <w:bCs/>
        </w:rPr>
        <w:t>（提供原件扫描件）</w:t>
      </w:r>
    </w:p>
    <w:p w14:paraId="7758AFD3">
      <w:pPr>
        <w:ind w:firstLine="422"/>
        <w:rPr>
          <w:rFonts w:cs="宋体"/>
          <w:bCs/>
          <w:kern w:val="0"/>
        </w:rPr>
      </w:pPr>
      <w:r>
        <w:rPr>
          <w:rFonts w:hint="eastAsia" w:cs="宋体"/>
          <w:bCs/>
          <w:kern w:val="0"/>
          <w:lang w:val="en-US" w:eastAsia="zh-CN"/>
        </w:rPr>
        <w:t>5</w:t>
      </w:r>
      <w:r>
        <w:rPr>
          <w:rFonts w:cs="宋体"/>
          <w:bCs/>
          <w:kern w:val="0"/>
        </w:rPr>
        <w:t>.</w:t>
      </w:r>
      <w:r>
        <w:rPr>
          <w:rFonts w:hint="eastAsia"/>
          <w:bCs/>
        </w:rPr>
        <w:t>投标人有效的设计资质证书、施工资质证书及</w:t>
      </w:r>
      <w:r>
        <w:rPr>
          <w:rFonts w:hint="eastAsia"/>
          <w:szCs w:val="21"/>
        </w:rPr>
        <w:t>有效的安全生产许可证</w:t>
      </w:r>
      <w:r>
        <w:rPr>
          <w:rFonts w:hint="eastAsia"/>
          <w:bCs/>
        </w:rPr>
        <w:t>。</w:t>
      </w:r>
      <w:r>
        <w:rPr>
          <w:rFonts w:hint="eastAsia" w:cs="宋体"/>
          <w:bCs/>
          <w:kern w:val="0"/>
        </w:rPr>
        <w:t>（</w:t>
      </w:r>
      <w:r>
        <w:rPr>
          <w:rFonts w:cs="宋体"/>
          <w:bCs/>
          <w:kern w:val="0"/>
        </w:rPr>
        <w:t>提供原件扫描件</w:t>
      </w:r>
      <w:r>
        <w:rPr>
          <w:rFonts w:hint="eastAsia" w:cs="宋体"/>
          <w:bCs/>
          <w:kern w:val="0"/>
        </w:rPr>
        <w:t>）。</w:t>
      </w:r>
    </w:p>
    <w:p w14:paraId="6A9D45F4">
      <w:pPr>
        <w:ind w:firstLine="422"/>
        <w:rPr>
          <w:rFonts w:cs="宋体"/>
          <w:bCs/>
          <w:kern w:val="0"/>
        </w:rPr>
      </w:pPr>
      <w:r>
        <w:rPr>
          <w:rFonts w:hint="eastAsia" w:cs="宋体"/>
          <w:bCs/>
          <w:kern w:val="0"/>
          <w:lang w:val="en-US" w:eastAsia="zh-CN"/>
        </w:rPr>
        <w:t>6</w:t>
      </w:r>
      <w:r>
        <w:rPr>
          <w:rFonts w:cs="宋体"/>
          <w:bCs/>
          <w:kern w:val="0"/>
        </w:rPr>
        <w:t>.</w:t>
      </w:r>
      <w:r>
        <w:rPr>
          <w:rFonts w:hint="eastAsia" w:cs="宋体"/>
          <w:bCs/>
          <w:kern w:val="0"/>
        </w:rPr>
        <w:t>项目经理的执业资格证书及有效的安全生产考核合格证书。（</w:t>
      </w:r>
      <w:r>
        <w:rPr>
          <w:rFonts w:cs="宋体"/>
          <w:bCs/>
          <w:kern w:val="0"/>
        </w:rPr>
        <w:t>提供原件扫描件</w:t>
      </w:r>
      <w:r>
        <w:rPr>
          <w:rFonts w:hint="eastAsia" w:cs="宋体"/>
          <w:bCs/>
          <w:kern w:val="0"/>
        </w:rPr>
        <w:t>或注册证书电子证照）</w:t>
      </w:r>
    </w:p>
    <w:p w14:paraId="76F69D97">
      <w:pPr>
        <w:widowControl/>
        <w:spacing w:line="240" w:lineRule="auto"/>
        <w:jc w:val="left"/>
        <w:rPr>
          <w:rFonts w:ascii="黑体" w:eastAsia="黑体"/>
          <w:bCs/>
          <w:sz w:val="28"/>
          <w:szCs w:val="28"/>
        </w:rPr>
      </w:pPr>
      <w:r>
        <w:br w:type="page"/>
      </w:r>
    </w:p>
    <w:p w14:paraId="6CA7F6F3">
      <w:pPr>
        <w:pStyle w:val="4"/>
        <w:spacing w:line="360" w:lineRule="auto"/>
      </w:pPr>
      <w:bookmarkStart w:id="491" w:name="_Toc98504159"/>
      <w:r>
        <w:t>（一）投标人基本情况表</w:t>
      </w:r>
      <w:bookmarkEnd w:id="484"/>
      <w:bookmarkEnd w:id="485"/>
      <w:bookmarkEnd w:id="486"/>
      <w:bookmarkEnd w:id="487"/>
      <w:bookmarkEnd w:id="488"/>
      <w:bookmarkEnd w:id="489"/>
      <w:bookmarkEnd w:id="491"/>
    </w:p>
    <w:p w14:paraId="4A017D13">
      <w:pPr>
        <w:topLinePunct/>
        <w:rPr>
          <w:rFonts w:eastAsia="黑体"/>
          <w:sz w:val="23"/>
          <w:szCs w:val="23"/>
        </w:rPr>
      </w:pP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002C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6EEBD9">
            <w:pPr>
              <w:keepNext w:val="0"/>
              <w:keepLines w:val="0"/>
              <w:suppressLineNumbers w:val="0"/>
              <w:topLinePunct/>
              <w:spacing w:before="0" w:beforeAutospacing="0" w:after="0" w:afterAutospacing="0"/>
              <w:ind w:left="0" w:right="0"/>
              <w:jc w:val="center"/>
              <w:rPr>
                <w:rFonts w:hint="default"/>
                <w:szCs w:val="21"/>
              </w:rPr>
            </w:pPr>
            <w:r>
              <w:rPr>
                <w:rFonts w:hint="default"/>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55DC2E6">
            <w:pPr>
              <w:keepNext w:val="0"/>
              <w:keepLines w:val="0"/>
              <w:suppressLineNumbers w:val="0"/>
              <w:topLinePunct/>
              <w:spacing w:before="0" w:beforeAutospacing="0" w:after="0" w:afterAutospacing="0"/>
              <w:ind w:left="0" w:right="0"/>
              <w:jc w:val="center"/>
              <w:rPr>
                <w:rFonts w:hint="default"/>
                <w:szCs w:val="21"/>
              </w:rPr>
            </w:pPr>
          </w:p>
        </w:tc>
      </w:tr>
      <w:tr w14:paraId="63602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173DE88">
            <w:pPr>
              <w:keepNext w:val="0"/>
              <w:keepLines w:val="0"/>
              <w:suppressLineNumbers w:val="0"/>
              <w:topLinePunct/>
              <w:spacing w:before="0" w:beforeAutospacing="0" w:after="0" w:afterAutospacing="0"/>
              <w:ind w:left="0" w:right="0"/>
              <w:jc w:val="center"/>
              <w:rPr>
                <w:rFonts w:hint="default"/>
                <w:szCs w:val="21"/>
              </w:rPr>
            </w:pPr>
            <w:r>
              <w:rPr>
                <w:rFonts w:hint="default"/>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A4E6AD6">
            <w:pPr>
              <w:keepNext w:val="0"/>
              <w:keepLines w:val="0"/>
              <w:suppressLineNumbers w:val="0"/>
              <w:topLinePunct/>
              <w:spacing w:before="0" w:beforeAutospacing="0" w:after="0" w:afterAutospacing="0"/>
              <w:ind w:left="0" w:right="0"/>
              <w:jc w:val="center"/>
              <w:rPr>
                <w:rFonts w:hint="default"/>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6DE9F696">
            <w:pPr>
              <w:keepNext w:val="0"/>
              <w:keepLines w:val="0"/>
              <w:suppressLineNumbers w:val="0"/>
              <w:topLinePunct/>
              <w:spacing w:before="0" w:beforeAutospacing="0" w:after="0" w:afterAutospacing="0"/>
              <w:ind w:left="0" w:right="0"/>
              <w:jc w:val="center"/>
              <w:rPr>
                <w:rFonts w:hint="default"/>
                <w:szCs w:val="21"/>
              </w:rPr>
            </w:pPr>
            <w:r>
              <w:rPr>
                <w:rFonts w:hint="default"/>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DEBA6AA">
            <w:pPr>
              <w:keepNext w:val="0"/>
              <w:keepLines w:val="0"/>
              <w:suppressLineNumbers w:val="0"/>
              <w:topLinePunct/>
              <w:spacing w:before="0" w:beforeAutospacing="0" w:after="0" w:afterAutospacing="0"/>
              <w:ind w:left="0" w:right="0"/>
              <w:jc w:val="center"/>
              <w:rPr>
                <w:rFonts w:hint="default"/>
                <w:szCs w:val="21"/>
              </w:rPr>
            </w:pPr>
          </w:p>
        </w:tc>
      </w:tr>
      <w:tr w14:paraId="49750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E56DF05">
            <w:pPr>
              <w:keepNext w:val="0"/>
              <w:keepLines w:val="0"/>
              <w:suppressLineNumbers w:val="0"/>
              <w:topLinePunct/>
              <w:spacing w:before="0" w:beforeAutospacing="0" w:after="0" w:afterAutospacing="0"/>
              <w:ind w:left="0" w:right="0"/>
              <w:jc w:val="center"/>
              <w:rPr>
                <w:rFonts w:hint="default"/>
                <w:szCs w:val="21"/>
              </w:rPr>
            </w:pPr>
            <w:r>
              <w:rPr>
                <w:rFonts w:hint="default"/>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4CD387D">
            <w:pPr>
              <w:keepNext w:val="0"/>
              <w:keepLines w:val="0"/>
              <w:suppressLineNumbers w:val="0"/>
              <w:topLinePunct/>
              <w:spacing w:before="0" w:beforeAutospacing="0" w:after="0" w:afterAutospacing="0"/>
              <w:ind w:left="0" w:right="0"/>
              <w:jc w:val="left"/>
              <w:rPr>
                <w:rFonts w:hint="default"/>
                <w:szCs w:val="21"/>
              </w:rPr>
            </w:pPr>
            <w:r>
              <w:rPr>
                <w:rFonts w:hint="default"/>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22F64FA">
            <w:pPr>
              <w:keepNext w:val="0"/>
              <w:keepLines w:val="0"/>
              <w:suppressLineNumbers w:val="0"/>
              <w:topLinePunct/>
              <w:spacing w:before="0" w:beforeAutospacing="0" w:after="0" w:afterAutospacing="0"/>
              <w:ind w:left="0" w:right="0"/>
              <w:jc w:val="center"/>
              <w:rPr>
                <w:rFonts w:hint="default"/>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7756425">
            <w:pPr>
              <w:keepNext w:val="0"/>
              <w:keepLines w:val="0"/>
              <w:suppressLineNumbers w:val="0"/>
              <w:topLinePunct/>
              <w:spacing w:before="0" w:beforeAutospacing="0" w:after="0" w:afterAutospacing="0"/>
              <w:ind w:left="0" w:right="0"/>
              <w:jc w:val="center"/>
              <w:rPr>
                <w:rFonts w:hint="default"/>
                <w:szCs w:val="21"/>
              </w:rPr>
            </w:pPr>
            <w:r>
              <w:rPr>
                <w:rFonts w:hint="default"/>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97F7503">
            <w:pPr>
              <w:keepNext w:val="0"/>
              <w:keepLines w:val="0"/>
              <w:suppressLineNumbers w:val="0"/>
              <w:topLinePunct/>
              <w:spacing w:before="0" w:beforeAutospacing="0" w:after="0" w:afterAutospacing="0"/>
              <w:ind w:left="0" w:right="0"/>
              <w:jc w:val="center"/>
              <w:rPr>
                <w:rFonts w:hint="default"/>
                <w:szCs w:val="21"/>
              </w:rPr>
            </w:pPr>
          </w:p>
        </w:tc>
      </w:tr>
      <w:tr w14:paraId="2CF9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4A33A6F">
            <w:pPr>
              <w:keepNext w:val="0"/>
              <w:keepLines w:val="0"/>
              <w:suppressLineNumbers w:val="0"/>
              <w:topLinePunct/>
              <w:spacing w:before="0" w:beforeAutospacing="0" w:after="0" w:afterAutospacing="0"/>
              <w:ind w:left="0" w:right="0"/>
              <w:jc w:val="center"/>
              <w:rPr>
                <w:rFonts w:hint="default"/>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6C11F89">
            <w:pPr>
              <w:keepNext w:val="0"/>
              <w:keepLines w:val="0"/>
              <w:suppressLineNumbers w:val="0"/>
              <w:topLinePunct/>
              <w:spacing w:before="0" w:beforeAutospacing="0" w:after="0" w:afterAutospacing="0"/>
              <w:ind w:left="0" w:right="0"/>
              <w:jc w:val="left"/>
              <w:rPr>
                <w:rFonts w:hint="default"/>
                <w:szCs w:val="21"/>
              </w:rPr>
            </w:pPr>
            <w:r>
              <w:rPr>
                <w:rFonts w:hint="default"/>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E47BF3F">
            <w:pPr>
              <w:keepNext w:val="0"/>
              <w:keepLines w:val="0"/>
              <w:suppressLineNumbers w:val="0"/>
              <w:topLinePunct/>
              <w:spacing w:before="0" w:beforeAutospacing="0" w:after="0" w:afterAutospacing="0"/>
              <w:ind w:left="0" w:right="0"/>
              <w:jc w:val="center"/>
              <w:rPr>
                <w:rFonts w:hint="default"/>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3D53F4A">
            <w:pPr>
              <w:keepNext w:val="0"/>
              <w:keepLines w:val="0"/>
              <w:suppressLineNumbers w:val="0"/>
              <w:topLinePunct/>
              <w:spacing w:before="0" w:beforeAutospacing="0" w:after="0" w:afterAutospacing="0"/>
              <w:ind w:left="0" w:right="0"/>
              <w:jc w:val="center"/>
              <w:rPr>
                <w:rFonts w:hint="default"/>
                <w:szCs w:val="21"/>
              </w:rPr>
            </w:pPr>
            <w:r>
              <w:rPr>
                <w:rFonts w:hint="default"/>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6139119">
            <w:pPr>
              <w:keepNext w:val="0"/>
              <w:keepLines w:val="0"/>
              <w:suppressLineNumbers w:val="0"/>
              <w:topLinePunct/>
              <w:spacing w:before="0" w:beforeAutospacing="0" w:after="0" w:afterAutospacing="0"/>
              <w:ind w:left="0" w:right="0"/>
              <w:jc w:val="center"/>
              <w:rPr>
                <w:rFonts w:hint="default"/>
                <w:szCs w:val="21"/>
              </w:rPr>
            </w:pPr>
          </w:p>
        </w:tc>
      </w:tr>
      <w:tr w14:paraId="1CBD2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538B760">
            <w:pPr>
              <w:keepNext w:val="0"/>
              <w:keepLines w:val="0"/>
              <w:suppressLineNumbers w:val="0"/>
              <w:topLinePunct/>
              <w:spacing w:before="0" w:beforeAutospacing="0" w:after="0" w:afterAutospacing="0"/>
              <w:ind w:left="0" w:right="0"/>
              <w:jc w:val="center"/>
              <w:rPr>
                <w:rFonts w:hint="default"/>
                <w:szCs w:val="21"/>
              </w:rPr>
            </w:pPr>
            <w:r>
              <w:rPr>
                <w:rFonts w:hint="default"/>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209C9FF">
            <w:pPr>
              <w:keepNext w:val="0"/>
              <w:keepLines w:val="0"/>
              <w:suppressLineNumbers w:val="0"/>
              <w:topLinePunct/>
              <w:spacing w:before="0" w:beforeAutospacing="0" w:after="0" w:afterAutospacing="0"/>
              <w:ind w:left="0" w:right="0"/>
              <w:jc w:val="center"/>
              <w:rPr>
                <w:rFonts w:hint="default"/>
                <w:szCs w:val="21"/>
              </w:rPr>
            </w:pPr>
          </w:p>
        </w:tc>
      </w:tr>
      <w:tr w14:paraId="758D2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0D08D08">
            <w:pPr>
              <w:keepNext w:val="0"/>
              <w:keepLines w:val="0"/>
              <w:suppressLineNumbers w:val="0"/>
              <w:topLinePunct/>
              <w:spacing w:before="0" w:beforeAutospacing="0" w:after="0" w:afterAutospacing="0"/>
              <w:ind w:left="0" w:right="0"/>
              <w:jc w:val="center"/>
              <w:rPr>
                <w:rFonts w:hint="default"/>
                <w:szCs w:val="21"/>
              </w:rPr>
            </w:pPr>
            <w:r>
              <w:rPr>
                <w:rFonts w:hint="default"/>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BEE1E4F">
            <w:pPr>
              <w:keepNext w:val="0"/>
              <w:keepLines w:val="0"/>
              <w:suppressLineNumbers w:val="0"/>
              <w:topLinePunct/>
              <w:spacing w:before="0" w:beforeAutospacing="0" w:after="0" w:afterAutospacing="0"/>
              <w:ind w:left="0" w:right="0"/>
              <w:jc w:val="left"/>
              <w:rPr>
                <w:rFonts w:hint="default"/>
                <w:szCs w:val="21"/>
              </w:rPr>
            </w:pPr>
            <w:r>
              <w:rPr>
                <w:rFonts w:hint="default"/>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9F5205A">
            <w:pPr>
              <w:keepNext w:val="0"/>
              <w:keepLines w:val="0"/>
              <w:suppressLineNumbers w:val="0"/>
              <w:topLinePunct/>
              <w:spacing w:before="0" w:beforeAutospacing="0" w:after="0" w:afterAutospacing="0"/>
              <w:ind w:left="0" w:right="0"/>
              <w:jc w:val="center"/>
              <w:rPr>
                <w:rFonts w:hint="default"/>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44F8749">
            <w:pPr>
              <w:keepNext w:val="0"/>
              <w:keepLines w:val="0"/>
              <w:suppressLineNumbers w:val="0"/>
              <w:topLinePunct/>
              <w:spacing w:before="0" w:beforeAutospacing="0" w:after="0" w:afterAutospacing="0"/>
              <w:ind w:left="0" w:right="0"/>
              <w:jc w:val="center"/>
              <w:rPr>
                <w:rFonts w:hint="default"/>
                <w:szCs w:val="21"/>
              </w:rPr>
            </w:pPr>
            <w:r>
              <w:rPr>
                <w:rFonts w:hint="default"/>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5C4696E">
            <w:pPr>
              <w:keepNext w:val="0"/>
              <w:keepLines w:val="0"/>
              <w:suppressLineNumbers w:val="0"/>
              <w:topLinePunct/>
              <w:spacing w:before="0" w:beforeAutospacing="0" w:after="0" w:afterAutospacing="0"/>
              <w:ind w:left="0" w:right="0"/>
              <w:jc w:val="center"/>
              <w:rPr>
                <w:rFonts w:hint="default"/>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00776B7">
            <w:pPr>
              <w:keepNext w:val="0"/>
              <w:keepLines w:val="0"/>
              <w:suppressLineNumbers w:val="0"/>
              <w:topLinePunct/>
              <w:spacing w:before="0" w:beforeAutospacing="0" w:after="0" w:afterAutospacing="0"/>
              <w:ind w:left="0" w:right="0"/>
              <w:jc w:val="left"/>
              <w:rPr>
                <w:rFonts w:hint="default"/>
                <w:szCs w:val="21"/>
              </w:rPr>
            </w:pPr>
            <w:r>
              <w:rPr>
                <w:rFonts w:hint="default"/>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92314DD">
            <w:pPr>
              <w:keepNext w:val="0"/>
              <w:keepLines w:val="0"/>
              <w:suppressLineNumbers w:val="0"/>
              <w:topLinePunct/>
              <w:spacing w:before="0" w:beforeAutospacing="0" w:after="0" w:afterAutospacing="0"/>
              <w:ind w:left="0" w:right="0"/>
              <w:jc w:val="center"/>
              <w:rPr>
                <w:rFonts w:hint="default"/>
                <w:szCs w:val="21"/>
              </w:rPr>
            </w:pPr>
          </w:p>
        </w:tc>
      </w:tr>
      <w:tr w14:paraId="11626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7D1EA1">
            <w:pPr>
              <w:keepNext w:val="0"/>
              <w:keepLines w:val="0"/>
              <w:suppressLineNumbers w:val="0"/>
              <w:topLinePunct/>
              <w:spacing w:before="0" w:beforeAutospacing="0" w:after="0" w:afterAutospacing="0"/>
              <w:ind w:left="0" w:right="0"/>
              <w:jc w:val="center"/>
              <w:rPr>
                <w:rFonts w:hint="default"/>
                <w:szCs w:val="21"/>
              </w:rPr>
            </w:pPr>
            <w:r>
              <w:rPr>
                <w:rFonts w:hint="default"/>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8225FEC">
            <w:pPr>
              <w:keepNext w:val="0"/>
              <w:keepLines w:val="0"/>
              <w:suppressLineNumbers w:val="0"/>
              <w:topLinePunct/>
              <w:spacing w:before="0" w:beforeAutospacing="0" w:after="0" w:afterAutospacing="0"/>
              <w:ind w:left="0" w:right="0"/>
              <w:jc w:val="left"/>
              <w:rPr>
                <w:rFonts w:hint="default"/>
                <w:szCs w:val="21"/>
              </w:rPr>
            </w:pPr>
            <w:r>
              <w:rPr>
                <w:rFonts w:hint="default"/>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82F9667">
            <w:pPr>
              <w:keepNext w:val="0"/>
              <w:keepLines w:val="0"/>
              <w:suppressLineNumbers w:val="0"/>
              <w:topLinePunct/>
              <w:spacing w:before="0" w:beforeAutospacing="0" w:after="0" w:afterAutospacing="0"/>
              <w:ind w:left="0" w:right="0"/>
              <w:jc w:val="center"/>
              <w:rPr>
                <w:rFonts w:hint="default"/>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313739">
            <w:pPr>
              <w:keepNext w:val="0"/>
              <w:keepLines w:val="0"/>
              <w:suppressLineNumbers w:val="0"/>
              <w:topLinePunct/>
              <w:spacing w:before="0" w:beforeAutospacing="0" w:after="0" w:afterAutospacing="0"/>
              <w:ind w:left="0" w:right="0"/>
              <w:jc w:val="center"/>
              <w:rPr>
                <w:rFonts w:hint="default"/>
                <w:szCs w:val="21"/>
              </w:rPr>
            </w:pPr>
            <w:r>
              <w:rPr>
                <w:rFonts w:hint="default"/>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EA66814">
            <w:pPr>
              <w:keepNext w:val="0"/>
              <w:keepLines w:val="0"/>
              <w:suppressLineNumbers w:val="0"/>
              <w:topLinePunct/>
              <w:spacing w:before="0" w:beforeAutospacing="0" w:after="0" w:afterAutospacing="0"/>
              <w:ind w:left="0" w:right="0"/>
              <w:jc w:val="center"/>
              <w:rPr>
                <w:rFonts w:hint="default"/>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6A8C8FA">
            <w:pPr>
              <w:keepNext w:val="0"/>
              <w:keepLines w:val="0"/>
              <w:suppressLineNumbers w:val="0"/>
              <w:topLinePunct/>
              <w:spacing w:before="0" w:beforeAutospacing="0" w:after="0" w:afterAutospacing="0"/>
              <w:ind w:left="0" w:right="0"/>
              <w:jc w:val="left"/>
              <w:rPr>
                <w:rFonts w:hint="default"/>
                <w:szCs w:val="21"/>
              </w:rPr>
            </w:pPr>
            <w:r>
              <w:rPr>
                <w:rFonts w:hint="default"/>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8172D49">
            <w:pPr>
              <w:keepNext w:val="0"/>
              <w:keepLines w:val="0"/>
              <w:suppressLineNumbers w:val="0"/>
              <w:topLinePunct/>
              <w:spacing w:before="0" w:beforeAutospacing="0" w:after="0" w:afterAutospacing="0"/>
              <w:ind w:left="0" w:right="0"/>
              <w:jc w:val="center"/>
              <w:rPr>
                <w:rFonts w:hint="default"/>
                <w:szCs w:val="21"/>
              </w:rPr>
            </w:pPr>
          </w:p>
        </w:tc>
      </w:tr>
      <w:tr w14:paraId="07462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27795EC">
            <w:pPr>
              <w:keepNext w:val="0"/>
              <w:keepLines w:val="0"/>
              <w:suppressLineNumbers w:val="0"/>
              <w:topLinePunct/>
              <w:spacing w:before="0" w:beforeAutospacing="0" w:after="0" w:afterAutospacing="0"/>
              <w:ind w:left="0" w:right="0"/>
              <w:jc w:val="center"/>
              <w:rPr>
                <w:rFonts w:hint="default"/>
                <w:szCs w:val="21"/>
              </w:rPr>
            </w:pPr>
            <w:r>
              <w:rPr>
                <w:rFonts w:hint="default"/>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0E06065">
            <w:pPr>
              <w:keepNext w:val="0"/>
              <w:keepLines w:val="0"/>
              <w:suppressLineNumbers w:val="0"/>
              <w:topLinePunct/>
              <w:spacing w:before="0" w:beforeAutospacing="0" w:after="0" w:afterAutospacing="0"/>
              <w:ind w:left="0" w:right="0"/>
              <w:jc w:val="center"/>
              <w:rPr>
                <w:rFonts w:hint="default"/>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164819AC">
            <w:pPr>
              <w:keepNext w:val="0"/>
              <w:keepLines w:val="0"/>
              <w:suppressLineNumbers w:val="0"/>
              <w:topLinePunct/>
              <w:spacing w:before="0" w:beforeAutospacing="0" w:after="0" w:afterAutospacing="0"/>
              <w:ind w:left="0" w:right="0" w:firstLine="105" w:firstLineChars="50"/>
              <w:jc w:val="center"/>
              <w:rPr>
                <w:rFonts w:hint="default"/>
                <w:szCs w:val="21"/>
              </w:rPr>
            </w:pPr>
            <w:r>
              <w:rPr>
                <w:rFonts w:hint="default"/>
                <w:szCs w:val="21"/>
              </w:rPr>
              <w:t>员工总人数：</w:t>
            </w:r>
          </w:p>
        </w:tc>
      </w:tr>
      <w:tr w14:paraId="6A37A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51B2C1">
            <w:pPr>
              <w:keepNext w:val="0"/>
              <w:keepLines w:val="0"/>
              <w:suppressLineNumbers w:val="0"/>
              <w:topLinePunct/>
              <w:spacing w:before="0" w:beforeAutospacing="0" w:after="0" w:afterAutospacing="0"/>
              <w:ind w:left="0" w:right="0"/>
              <w:jc w:val="center"/>
              <w:rPr>
                <w:rFonts w:hint="default"/>
                <w:szCs w:val="21"/>
              </w:rPr>
            </w:pPr>
            <w:r>
              <w:rPr>
                <w:rFonts w:hint="default"/>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E14E61">
            <w:pPr>
              <w:keepNext w:val="0"/>
              <w:keepLines w:val="0"/>
              <w:suppressLineNumbers w:val="0"/>
              <w:topLinePunct/>
              <w:spacing w:before="0" w:beforeAutospacing="0" w:after="0" w:afterAutospacing="0"/>
              <w:ind w:left="0" w:right="0"/>
              <w:jc w:val="center"/>
              <w:rPr>
                <w:rFonts w:hint="default"/>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A0DCAC0">
            <w:pPr>
              <w:keepNext w:val="0"/>
              <w:keepLines w:val="0"/>
              <w:suppressLineNumbers w:val="0"/>
              <w:topLinePunct/>
              <w:spacing w:before="0" w:beforeAutospacing="0" w:after="0" w:afterAutospacing="0"/>
              <w:ind w:left="0" w:right="0"/>
              <w:jc w:val="center"/>
              <w:rPr>
                <w:rFonts w:hint="default"/>
                <w:szCs w:val="21"/>
              </w:rPr>
            </w:pPr>
            <w:r>
              <w:rPr>
                <w:rFonts w:hint="default"/>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D09982B">
            <w:pPr>
              <w:keepNext w:val="0"/>
              <w:keepLines w:val="0"/>
              <w:suppressLineNumbers w:val="0"/>
              <w:topLinePunct/>
              <w:spacing w:before="0" w:beforeAutospacing="0" w:after="0" w:afterAutospacing="0"/>
              <w:ind w:left="0" w:right="0"/>
              <w:jc w:val="center"/>
              <w:rPr>
                <w:rFonts w:hint="default"/>
                <w:szCs w:val="21"/>
              </w:rPr>
            </w:pPr>
            <w:r>
              <w:rPr>
                <w:rFonts w:hint="default"/>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615E8A1">
            <w:pPr>
              <w:keepNext w:val="0"/>
              <w:keepLines w:val="0"/>
              <w:suppressLineNumbers w:val="0"/>
              <w:topLinePunct/>
              <w:spacing w:before="0" w:beforeAutospacing="0" w:after="0" w:afterAutospacing="0"/>
              <w:ind w:left="0" w:right="0"/>
              <w:jc w:val="center"/>
              <w:rPr>
                <w:rFonts w:hint="default"/>
                <w:szCs w:val="21"/>
              </w:rPr>
            </w:pPr>
          </w:p>
        </w:tc>
      </w:tr>
      <w:tr w14:paraId="3C77F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ECB0B6">
            <w:pPr>
              <w:keepNext w:val="0"/>
              <w:keepLines w:val="0"/>
              <w:suppressLineNumbers w:val="0"/>
              <w:topLinePunct/>
              <w:spacing w:before="0" w:beforeAutospacing="0" w:after="0" w:afterAutospacing="0"/>
              <w:ind w:left="0" w:right="0"/>
              <w:jc w:val="center"/>
              <w:rPr>
                <w:rFonts w:hint="default"/>
                <w:szCs w:val="21"/>
              </w:rPr>
            </w:pPr>
            <w:r>
              <w:rPr>
                <w:rFonts w:hint="default"/>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EA53B73">
            <w:pPr>
              <w:keepNext w:val="0"/>
              <w:keepLines w:val="0"/>
              <w:suppressLineNumbers w:val="0"/>
              <w:topLinePunct/>
              <w:spacing w:before="0" w:beforeAutospacing="0" w:after="0" w:afterAutospacing="0"/>
              <w:ind w:left="0" w:right="0"/>
              <w:jc w:val="center"/>
              <w:rPr>
                <w:rFonts w:hint="default"/>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DCBF43D">
            <w:pPr>
              <w:keepNext w:val="0"/>
              <w:keepLines w:val="0"/>
              <w:suppressLineNumbers w:val="0"/>
              <w:topLinePunct/>
              <w:spacing w:before="0" w:beforeAutospacing="0" w:after="0" w:afterAutospacing="0"/>
              <w:ind w:left="0" w:right="0"/>
              <w:jc w:val="center"/>
              <w:rPr>
                <w:rFonts w:hint="default"/>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5426D8">
            <w:pPr>
              <w:keepNext w:val="0"/>
              <w:keepLines w:val="0"/>
              <w:suppressLineNumbers w:val="0"/>
              <w:topLinePunct/>
              <w:spacing w:before="0" w:beforeAutospacing="0" w:after="0" w:afterAutospacing="0"/>
              <w:ind w:left="0" w:right="0"/>
              <w:jc w:val="center"/>
              <w:rPr>
                <w:rFonts w:hint="default"/>
                <w:szCs w:val="21"/>
              </w:rPr>
            </w:pPr>
            <w:r>
              <w:rPr>
                <w:rFonts w:hint="default"/>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C8B6335">
            <w:pPr>
              <w:keepNext w:val="0"/>
              <w:keepLines w:val="0"/>
              <w:suppressLineNumbers w:val="0"/>
              <w:topLinePunct/>
              <w:spacing w:before="0" w:beforeAutospacing="0" w:after="0" w:afterAutospacing="0"/>
              <w:ind w:left="0" w:right="0"/>
              <w:jc w:val="center"/>
              <w:rPr>
                <w:rFonts w:hint="default"/>
                <w:szCs w:val="21"/>
              </w:rPr>
            </w:pPr>
          </w:p>
        </w:tc>
      </w:tr>
      <w:tr w14:paraId="7B7B3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147C0F">
            <w:pPr>
              <w:keepNext w:val="0"/>
              <w:keepLines w:val="0"/>
              <w:suppressLineNumbers w:val="0"/>
              <w:topLinePunct/>
              <w:spacing w:before="0" w:beforeAutospacing="0" w:after="0" w:afterAutospacing="0"/>
              <w:ind w:left="0" w:right="0"/>
              <w:jc w:val="center"/>
              <w:rPr>
                <w:rFonts w:hint="default"/>
                <w:szCs w:val="21"/>
              </w:rPr>
            </w:pPr>
            <w:r>
              <w:rPr>
                <w:rFonts w:hint="default"/>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12453F4">
            <w:pPr>
              <w:keepNext w:val="0"/>
              <w:keepLines w:val="0"/>
              <w:suppressLineNumbers w:val="0"/>
              <w:topLinePunct/>
              <w:spacing w:before="0" w:beforeAutospacing="0" w:after="0" w:afterAutospacing="0"/>
              <w:ind w:left="0" w:right="0"/>
              <w:jc w:val="center"/>
              <w:rPr>
                <w:rFonts w:hint="default"/>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131A897">
            <w:pPr>
              <w:keepNext w:val="0"/>
              <w:keepLines w:val="0"/>
              <w:suppressLineNumbers w:val="0"/>
              <w:topLinePunct/>
              <w:spacing w:before="0" w:beforeAutospacing="0" w:after="0" w:afterAutospacing="0"/>
              <w:ind w:left="0" w:right="0"/>
              <w:jc w:val="center"/>
              <w:rPr>
                <w:rFonts w:hint="default"/>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F8F7BC8">
            <w:pPr>
              <w:keepNext w:val="0"/>
              <w:keepLines w:val="0"/>
              <w:suppressLineNumbers w:val="0"/>
              <w:topLinePunct/>
              <w:spacing w:before="0" w:beforeAutospacing="0" w:after="0" w:afterAutospacing="0"/>
              <w:ind w:left="0" w:right="0"/>
              <w:jc w:val="center"/>
              <w:rPr>
                <w:rFonts w:hint="default"/>
                <w:szCs w:val="21"/>
              </w:rPr>
            </w:pPr>
            <w:r>
              <w:rPr>
                <w:rFonts w:hint="default"/>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902A30F">
            <w:pPr>
              <w:keepNext w:val="0"/>
              <w:keepLines w:val="0"/>
              <w:suppressLineNumbers w:val="0"/>
              <w:topLinePunct/>
              <w:spacing w:before="0" w:beforeAutospacing="0" w:after="0" w:afterAutospacing="0"/>
              <w:ind w:left="0" w:right="0"/>
              <w:jc w:val="center"/>
              <w:rPr>
                <w:rFonts w:hint="default"/>
                <w:szCs w:val="21"/>
              </w:rPr>
            </w:pPr>
          </w:p>
        </w:tc>
      </w:tr>
      <w:tr w14:paraId="72F91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58B0BE">
            <w:pPr>
              <w:keepNext w:val="0"/>
              <w:keepLines w:val="0"/>
              <w:suppressLineNumbers w:val="0"/>
              <w:topLinePunct/>
              <w:spacing w:before="0" w:beforeAutospacing="0" w:after="0" w:afterAutospacing="0"/>
              <w:ind w:left="0" w:right="0"/>
              <w:jc w:val="center"/>
              <w:rPr>
                <w:rFonts w:hint="default"/>
                <w:szCs w:val="21"/>
              </w:rPr>
            </w:pPr>
            <w:r>
              <w:rPr>
                <w:rFonts w:hint="default"/>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1039B9D">
            <w:pPr>
              <w:keepNext w:val="0"/>
              <w:keepLines w:val="0"/>
              <w:suppressLineNumbers w:val="0"/>
              <w:topLinePunct/>
              <w:spacing w:before="0" w:beforeAutospacing="0" w:after="0" w:afterAutospacing="0"/>
              <w:ind w:left="0" w:right="0"/>
              <w:jc w:val="center"/>
              <w:rPr>
                <w:rFonts w:hint="default"/>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AABE7D2">
            <w:pPr>
              <w:keepNext w:val="0"/>
              <w:keepLines w:val="0"/>
              <w:suppressLineNumbers w:val="0"/>
              <w:topLinePunct/>
              <w:spacing w:before="0" w:beforeAutospacing="0" w:after="0" w:afterAutospacing="0"/>
              <w:ind w:left="0" w:right="0"/>
              <w:jc w:val="center"/>
              <w:rPr>
                <w:rFonts w:hint="default"/>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72DCFF1">
            <w:pPr>
              <w:keepNext w:val="0"/>
              <w:keepLines w:val="0"/>
              <w:suppressLineNumbers w:val="0"/>
              <w:topLinePunct/>
              <w:spacing w:before="0" w:beforeAutospacing="0" w:after="0" w:afterAutospacing="0"/>
              <w:ind w:left="0" w:right="0"/>
              <w:jc w:val="center"/>
              <w:rPr>
                <w:rFonts w:hint="default"/>
                <w:szCs w:val="21"/>
              </w:rPr>
            </w:pPr>
            <w:r>
              <w:rPr>
                <w:rFonts w:hint="default"/>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A598BC">
            <w:pPr>
              <w:keepNext w:val="0"/>
              <w:keepLines w:val="0"/>
              <w:suppressLineNumbers w:val="0"/>
              <w:topLinePunct/>
              <w:spacing w:before="0" w:beforeAutospacing="0" w:after="0" w:afterAutospacing="0"/>
              <w:ind w:left="0" w:right="0"/>
              <w:jc w:val="center"/>
              <w:rPr>
                <w:rFonts w:hint="default"/>
                <w:szCs w:val="21"/>
              </w:rPr>
            </w:pPr>
          </w:p>
        </w:tc>
      </w:tr>
      <w:tr w14:paraId="1A5D8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F718CA">
            <w:pPr>
              <w:keepNext w:val="0"/>
              <w:keepLines w:val="0"/>
              <w:suppressLineNumbers w:val="0"/>
              <w:topLinePunct/>
              <w:spacing w:before="0" w:beforeAutospacing="0" w:after="0" w:afterAutospacing="0"/>
              <w:ind w:left="0" w:right="0"/>
              <w:jc w:val="center"/>
              <w:rPr>
                <w:rFonts w:hint="default"/>
                <w:szCs w:val="21"/>
              </w:rPr>
            </w:pPr>
            <w:r>
              <w:rPr>
                <w:rFonts w:hint="default"/>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586B85">
            <w:pPr>
              <w:keepNext w:val="0"/>
              <w:keepLines w:val="0"/>
              <w:suppressLineNumbers w:val="0"/>
              <w:topLinePunct/>
              <w:spacing w:before="0" w:beforeAutospacing="0" w:after="0" w:afterAutospacing="0"/>
              <w:ind w:left="0" w:right="0"/>
              <w:jc w:val="center"/>
              <w:rPr>
                <w:rFonts w:hint="default"/>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69D32F4">
            <w:pPr>
              <w:keepNext w:val="0"/>
              <w:keepLines w:val="0"/>
              <w:suppressLineNumbers w:val="0"/>
              <w:topLinePunct/>
              <w:spacing w:before="0" w:beforeAutospacing="0" w:after="0" w:afterAutospacing="0"/>
              <w:ind w:left="0" w:right="0"/>
              <w:jc w:val="center"/>
              <w:rPr>
                <w:rFonts w:hint="default"/>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79BA94E">
            <w:pPr>
              <w:keepNext w:val="0"/>
              <w:keepLines w:val="0"/>
              <w:suppressLineNumbers w:val="0"/>
              <w:topLinePunct/>
              <w:spacing w:before="0" w:beforeAutospacing="0" w:after="0" w:afterAutospacing="0"/>
              <w:ind w:left="0" w:right="0"/>
              <w:jc w:val="center"/>
              <w:rPr>
                <w:rFonts w:hint="default"/>
              </w:rPr>
            </w:pPr>
            <w:r>
              <w:rPr>
                <w:rFonts w:hint="default"/>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8B87951">
            <w:pPr>
              <w:keepNext w:val="0"/>
              <w:keepLines w:val="0"/>
              <w:suppressLineNumbers w:val="0"/>
              <w:topLinePunct/>
              <w:spacing w:before="0" w:beforeAutospacing="0" w:after="0" w:afterAutospacing="0"/>
              <w:ind w:left="0" w:right="0"/>
              <w:jc w:val="center"/>
              <w:rPr>
                <w:rFonts w:hint="default"/>
                <w:szCs w:val="21"/>
              </w:rPr>
            </w:pPr>
          </w:p>
        </w:tc>
      </w:tr>
      <w:tr w14:paraId="6B920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1728" w:type="dxa"/>
            <w:tcBorders>
              <w:top w:val="single" w:color="auto" w:sz="4" w:space="0"/>
              <w:left w:val="single" w:color="auto" w:sz="4" w:space="0"/>
              <w:right w:val="single" w:color="auto" w:sz="4" w:space="0"/>
            </w:tcBorders>
            <w:vAlign w:val="center"/>
          </w:tcPr>
          <w:p w14:paraId="5A2C4F08">
            <w:pPr>
              <w:keepNext w:val="0"/>
              <w:keepLines w:val="0"/>
              <w:suppressLineNumbers w:val="0"/>
              <w:topLinePunct/>
              <w:spacing w:before="0" w:beforeAutospacing="0" w:after="0" w:afterAutospacing="0"/>
              <w:ind w:left="0" w:right="0" w:firstLine="210" w:firstLineChars="100"/>
              <w:jc w:val="center"/>
              <w:rPr>
                <w:rFonts w:hint="default"/>
                <w:szCs w:val="21"/>
              </w:rPr>
            </w:pPr>
            <w:r>
              <w:rPr>
                <w:rFonts w:hint="default"/>
                <w:szCs w:val="21"/>
              </w:rPr>
              <w:t>经营范围</w:t>
            </w:r>
          </w:p>
        </w:tc>
        <w:tc>
          <w:tcPr>
            <w:tcW w:w="6840" w:type="dxa"/>
            <w:gridSpan w:val="9"/>
            <w:tcBorders>
              <w:top w:val="single" w:color="auto" w:sz="4" w:space="0"/>
              <w:left w:val="single" w:color="auto" w:sz="4" w:space="0"/>
              <w:right w:val="single" w:color="auto" w:sz="4" w:space="0"/>
            </w:tcBorders>
            <w:vAlign w:val="center"/>
          </w:tcPr>
          <w:p w14:paraId="37DDC7B4">
            <w:pPr>
              <w:keepNext w:val="0"/>
              <w:keepLines w:val="0"/>
              <w:suppressLineNumbers w:val="0"/>
              <w:topLinePunct/>
              <w:spacing w:before="0" w:beforeAutospacing="0" w:after="0" w:afterAutospacing="0"/>
              <w:ind w:left="0" w:right="0"/>
              <w:jc w:val="center"/>
              <w:rPr>
                <w:rFonts w:hint="default"/>
                <w:szCs w:val="21"/>
              </w:rPr>
            </w:pPr>
          </w:p>
        </w:tc>
      </w:tr>
      <w:tr w14:paraId="405FC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71725DF">
            <w:pPr>
              <w:keepNext w:val="0"/>
              <w:keepLines w:val="0"/>
              <w:suppressLineNumbers w:val="0"/>
              <w:topLinePunct/>
              <w:spacing w:before="0" w:beforeAutospacing="0" w:after="0" w:afterAutospacing="0"/>
              <w:ind w:left="0" w:right="0"/>
              <w:jc w:val="center"/>
              <w:rPr>
                <w:rFonts w:hint="default"/>
                <w:szCs w:val="21"/>
              </w:rPr>
            </w:pPr>
            <w:r>
              <w:rPr>
                <w:rFonts w:hint="default"/>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3D1F9A5">
            <w:pPr>
              <w:keepNext w:val="0"/>
              <w:keepLines w:val="0"/>
              <w:suppressLineNumbers w:val="0"/>
              <w:topLinePunct/>
              <w:spacing w:before="0" w:beforeAutospacing="0" w:after="0" w:afterAutospacing="0"/>
              <w:ind w:left="0" w:right="0"/>
              <w:jc w:val="center"/>
              <w:rPr>
                <w:rFonts w:hint="default"/>
                <w:szCs w:val="21"/>
              </w:rPr>
            </w:pPr>
          </w:p>
        </w:tc>
      </w:tr>
    </w:tbl>
    <w:p w14:paraId="4544FA9F">
      <w:pPr>
        <w:widowControl/>
        <w:spacing w:line="240" w:lineRule="auto"/>
        <w:jc w:val="left"/>
        <w:rPr>
          <w:rFonts w:eastAsia="黑体"/>
          <w:sz w:val="20"/>
          <w:szCs w:val="20"/>
        </w:rPr>
      </w:pPr>
    </w:p>
    <w:p w14:paraId="647905F1">
      <w:pPr>
        <w:pStyle w:val="45"/>
        <w:ind w:firstLine="420"/>
      </w:pPr>
    </w:p>
    <w:p w14:paraId="3E18EDF9"/>
    <w:p w14:paraId="145FFD0D">
      <w:pPr>
        <w:pStyle w:val="45"/>
        <w:ind w:firstLine="420"/>
      </w:pPr>
    </w:p>
    <w:p w14:paraId="7DBB1275"/>
    <w:p w14:paraId="2B51D0BE">
      <w:pPr>
        <w:pStyle w:val="45"/>
        <w:ind w:firstLine="0" w:firstLineChars="0"/>
      </w:pPr>
      <w:bookmarkStart w:id="492" w:name="_Toc247527853"/>
      <w:bookmarkStart w:id="493" w:name="_Toc152045813"/>
      <w:bookmarkStart w:id="494" w:name="_Toc144974881"/>
      <w:bookmarkStart w:id="495" w:name="_Toc247514305"/>
      <w:bookmarkStart w:id="496" w:name="_Toc247530162"/>
      <w:bookmarkStart w:id="497" w:name="_Toc152042602"/>
    </w:p>
    <w:bookmarkEnd w:id="492"/>
    <w:bookmarkEnd w:id="493"/>
    <w:bookmarkEnd w:id="494"/>
    <w:bookmarkEnd w:id="495"/>
    <w:bookmarkEnd w:id="496"/>
    <w:bookmarkEnd w:id="497"/>
    <w:p w14:paraId="7A5EAB52">
      <w:pPr>
        <w:pStyle w:val="3"/>
        <w:keepNext/>
        <w:keepLines/>
        <w:tabs>
          <w:tab w:val="clear" w:pos="425"/>
          <w:tab w:val="clear" w:pos="851"/>
        </w:tabs>
        <w:spacing w:before="260" w:after="260"/>
        <w:jc w:val="center"/>
        <w:rPr>
          <w:rFonts w:ascii="黑体" w:hAnsi="黑体" w:eastAsia="黑体"/>
          <w:sz w:val="32"/>
          <w:szCs w:val="44"/>
        </w:rPr>
      </w:pPr>
      <w:bookmarkStart w:id="498" w:name="_Toc271821942"/>
      <w:bookmarkStart w:id="499" w:name="_Toc98504168"/>
      <w:bookmarkStart w:id="500" w:name="_Toc61968504"/>
      <w:bookmarkStart w:id="501" w:name="_Toc115196125"/>
      <w:r>
        <w:rPr>
          <w:rFonts w:hint="eastAsia" w:ascii="黑体" w:hAnsi="黑体" w:eastAsia="黑体"/>
          <w:sz w:val="32"/>
          <w:szCs w:val="44"/>
        </w:rPr>
        <w:t>九</w:t>
      </w:r>
      <w:r>
        <w:rPr>
          <w:rFonts w:ascii="黑体" w:hAnsi="黑体" w:eastAsia="黑体"/>
          <w:sz w:val="32"/>
          <w:szCs w:val="44"/>
        </w:rPr>
        <w:t>、</w:t>
      </w:r>
      <w:bookmarkEnd w:id="498"/>
      <w:r>
        <w:rPr>
          <w:rFonts w:ascii="黑体" w:hAnsi="黑体" w:eastAsia="黑体"/>
          <w:sz w:val="32"/>
          <w:szCs w:val="44"/>
        </w:rPr>
        <w:t>项目主要人员</w:t>
      </w:r>
      <w:r>
        <w:rPr>
          <w:rFonts w:hint="eastAsia" w:ascii="黑体" w:hAnsi="黑体" w:eastAsia="黑体"/>
          <w:sz w:val="32"/>
          <w:szCs w:val="44"/>
        </w:rPr>
        <w:t>承诺书</w:t>
      </w:r>
      <w:bookmarkEnd w:id="499"/>
      <w:bookmarkEnd w:id="500"/>
      <w:bookmarkEnd w:id="501"/>
    </w:p>
    <w:p w14:paraId="16B9A673">
      <w:pPr>
        <w:spacing w:after="312" w:afterLines="100"/>
        <w:jc w:val="left"/>
        <w:rPr>
          <w:szCs w:val="21"/>
        </w:rPr>
      </w:pPr>
      <w:r>
        <w:rPr>
          <w:rFonts w:hint="eastAsia"/>
          <w:szCs w:val="21"/>
        </w:rPr>
        <w:t>盐城市联鑫钢铁有限公司：</w:t>
      </w:r>
    </w:p>
    <w:p w14:paraId="23E52738">
      <w:pPr>
        <w:ind w:firstLine="420" w:firstLineChars="200"/>
        <w:rPr>
          <w:szCs w:val="21"/>
        </w:rPr>
      </w:pPr>
      <w:r>
        <w:rPr>
          <w:rFonts w:hint="eastAsia"/>
          <w:szCs w:val="21"/>
        </w:rPr>
        <w:t>我方在此声明，我方拟派往</w:t>
      </w:r>
      <w:r>
        <w:rPr>
          <w:szCs w:val="21"/>
          <w:u w:val="single"/>
        </w:rPr>
        <w:t xml:space="preserve">        </w:t>
      </w:r>
      <w:r>
        <w:rPr>
          <w:rFonts w:hint="eastAsia"/>
          <w:szCs w:val="21"/>
        </w:rPr>
        <w:t>（项目名称）的项目经理</w:t>
      </w:r>
      <w:r>
        <w:rPr>
          <w:szCs w:val="21"/>
          <w:u w:val="single"/>
        </w:rPr>
        <w:t xml:space="preserve">           </w:t>
      </w:r>
      <w:r>
        <w:rPr>
          <w:rFonts w:hint="eastAsia"/>
          <w:szCs w:val="21"/>
        </w:rPr>
        <w:t>（项目经理姓名）、设计负责人</w:t>
      </w:r>
      <w:r>
        <w:rPr>
          <w:szCs w:val="21"/>
          <w:u w:val="single"/>
        </w:rPr>
        <w:t xml:space="preserve">           </w:t>
      </w:r>
      <w:r>
        <w:rPr>
          <w:rFonts w:hint="eastAsia"/>
          <w:szCs w:val="21"/>
        </w:rPr>
        <w:t>（设计负责人姓名）、施工负责人</w:t>
      </w:r>
      <w:r>
        <w:rPr>
          <w:szCs w:val="21"/>
          <w:u w:val="single"/>
        </w:rPr>
        <w:t xml:space="preserve">           </w:t>
      </w:r>
      <w:r>
        <w:rPr>
          <w:rFonts w:hint="eastAsia"/>
          <w:szCs w:val="21"/>
        </w:rPr>
        <w:t>（施工负责人姓名）现阶段没有担任任何在建工程项目的项目经理。</w:t>
      </w:r>
    </w:p>
    <w:p w14:paraId="7BC18F7D">
      <w:pPr>
        <w:ind w:firstLine="420" w:firstLineChars="200"/>
        <w:rPr>
          <w:szCs w:val="21"/>
        </w:rPr>
      </w:pPr>
      <w:r>
        <w:rPr>
          <w:rFonts w:hint="eastAsia"/>
          <w:szCs w:val="21"/>
        </w:rPr>
        <w:t>拟派项目经理具有</w:t>
      </w:r>
      <w:r>
        <w:rPr>
          <w:rFonts w:hint="eastAsia"/>
          <w:szCs w:val="21"/>
          <w:u w:val="single"/>
        </w:rPr>
        <w:t xml:space="preserve">     </w:t>
      </w:r>
      <w:r>
        <w:rPr>
          <w:rFonts w:hint="eastAsia"/>
          <w:szCs w:val="21"/>
        </w:rPr>
        <w:t>年以上工作经验，持有</w:t>
      </w:r>
      <w:r>
        <w:rPr>
          <w:rFonts w:hint="eastAsia"/>
          <w:szCs w:val="21"/>
          <w:u w:val="single"/>
        </w:rPr>
        <w:t xml:space="preserve">     </w:t>
      </w:r>
      <w:r>
        <w:rPr>
          <w:rFonts w:hint="eastAsia"/>
          <w:szCs w:val="21"/>
        </w:rPr>
        <w:t>（注册证书名称）；设计负责人具有</w:t>
      </w:r>
      <w:r>
        <w:rPr>
          <w:rFonts w:hint="eastAsia"/>
          <w:szCs w:val="21"/>
          <w:u w:val="single"/>
        </w:rPr>
        <w:t xml:space="preserve">    </w:t>
      </w:r>
      <w:r>
        <w:rPr>
          <w:rFonts w:hint="eastAsia"/>
          <w:szCs w:val="21"/>
        </w:rPr>
        <w:t>年以上设计经验，持有</w:t>
      </w:r>
      <w:r>
        <w:rPr>
          <w:rFonts w:hint="eastAsia"/>
          <w:szCs w:val="21"/>
          <w:u w:val="single"/>
        </w:rPr>
        <w:t xml:space="preserve">     </w:t>
      </w:r>
      <w:r>
        <w:rPr>
          <w:rFonts w:hint="eastAsia"/>
          <w:szCs w:val="21"/>
        </w:rPr>
        <w:t>（注册证书名称）；施工负责人具有</w:t>
      </w:r>
      <w:r>
        <w:rPr>
          <w:rFonts w:hint="eastAsia"/>
          <w:szCs w:val="21"/>
          <w:u w:val="single"/>
        </w:rPr>
        <w:t xml:space="preserve">    </w:t>
      </w:r>
      <w:r>
        <w:rPr>
          <w:rFonts w:hint="eastAsia"/>
          <w:szCs w:val="21"/>
        </w:rPr>
        <w:t>年以上工作经验，注册</w:t>
      </w:r>
      <w:r>
        <w:rPr>
          <w:szCs w:val="21"/>
          <w:u w:val="single"/>
        </w:rPr>
        <w:t xml:space="preserve">   </w:t>
      </w:r>
      <w:r>
        <w:rPr>
          <w:rFonts w:hint="eastAsia"/>
          <w:szCs w:val="21"/>
        </w:rPr>
        <w:t>级建造师，具备有效的安全生产考核合格证书（</w:t>
      </w:r>
      <w:r>
        <w:rPr>
          <w:szCs w:val="21"/>
        </w:rPr>
        <w:t>B类）</w:t>
      </w:r>
      <w:r>
        <w:rPr>
          <w:rFonts w:hint="eastAsia"/>
          <w:szCs w:val="21"/>
        </w:rPr>
        <w:t>；采购负责人、安全员、施工员、质量员等管理人员能力水平满足本项目实际需求并持证上岗。</w:t>
      </w:r>
    </w:p>
    <w:p w14:paraId="2053B0CE">
      <w:pPr>
        <w:ind w:firstLine="420" w:firstLineChars="200"/>
        <w:rPr>
          <w:szCs w:val="21"/>
        </w:rPr>
      </w:pPr>
      <w:r>
        <w:rPr>
          <w:rFonts w:hint="eastAsia"/>
          <w:szCs w:val="21"/>
        </w:rPr>
        <w:t>我方保证上述信息的真实和准确，并愿意承担因我方在投标过程中弄虚作假所引起的一切法律后果。</w:t>
      </w:r>
    </w:p>
    <w:p w14:paraId="12672F0F">
      <w:pPr>
        <w:ind w:firstLine="420" w:firstLineChars="200"/>
        <w:rPr>
          <w:szCs w:val="21"/>
        </w:rPr>
      </w:pPr>
    </w:p>
    <w:p w14:paraId="317D9314">
      <w:pPr>
        <w:ind w:firstLine="420" w:firstLineChars="200"/>
        <w:rPr>
          <w:szCs w:val="21"/>
        </w:rPr>
      </w:pPr>
    </w:p>
    <w:p w14:paraId="435C97A0">
      <w:pPr>
        <w:ind w:firstLine="420" w:firstLineChars="200"/>
        <w:rPr>
          <w:szCs w:val="21"/>
        </w:rPr>
      </w:pPr>
      <w:r>
        <w:rPr>
          <w:rFonts w:hint="eastAsia"/>
          <w:szCs w:val="21"/>
        </w:rPr>
        <w:t>特此承诺！</w:t>
      </w:r>
    </w:p>
    <w:p w14:paraId="0B960EC5">
      <w:pPr>
        <w:rPr>
          <w:b/>
          <w:szCs w:val="21"/>
        </w:rPr>
      </w:pPr>
    </w:p>
    <w:p w14:paraId="6AD2AAC8">
      <w:pPr>
        <w:ind w:firstLine="422" w:firstLineChars="200"/>
        <w:rPr>
          <w:b/>
          <w:szCs w:val="21"/>
        </w:rPr>
      </w:pPr>
    </w:p>
    <w:p w14:paraId="7ADDE1B2">
      <w:pPr>
        <w:ind w:firstLine="422" w:firstLineChars="200"/>
        <w:rPr>
          <w:b/>
          <w:szCs w:val="21"/>
        </w:rPr>
      </w:pPr>
    </w:p>
    <w:p w14:paraId="6705A78D">
      <w:pPr>
        <w:ind w:firstLine="422" w:firstLineChars="200"/>
        <w:rPr>
          <w:b/>
          <w:szCs w:val="21"/>
        </w:rPr>
      </w:pPr>
    </w:p>
    <w:p w14:paraId="6F195F31">
      <w:pPr>
        <w:ind w:firstLine="422" w:firstLineChars="200"/>
        <w:rPr>
          <w:b/>
          <w:szCs w:val="21"/>
        </w:rPr>
      </w:pPr>
    </w:p>
    <w:p w14:paraId="37FE0715">
      <w:pPr>
        <w:ind w:right="420" w:firstLine="3702" w:firstLineChars="1756"/>
        <w:rPr>
          <w:b/>
          <w:szCs w:val="21"/>
        </w:rPr>
      </w:pPr>
      <w:r>
        <w:rPr>
          <w:rFonts w:hint="eastAsia"/>
          <w:b/>
          <w:szCs w:val="21"/>
        </w:rPr>
        <w:t xml:space="preserve"> </w:t>
      </w:r>
    </w:p>
    <w:p w14:paraId="569A0553">
      <w:pPr>
        <w:jc w:val="right"/>
        <w:rPr>
          <w:szCs w:val="21"/>
        </w:rPr>
      </w:pPr>
    </w:p>
    <w:p w14:paraId="7A610ED2">
      <w:pPr>
        <w:ind w:right="420"/>
        <w:jc w:val="right"/>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rPr>
        <w:t xml:space="preserve"> </w:t>
      </w:r>
    </w:p>
    <w:p w14:paraId="014A2F81">
      <w:pPr>
        <w:jc w:val="center"/>
        <w:rPr>
          <w:sz w:val="32"/>
          <w:szCs w:val="32"/>
        </w:rPr>
      </w:pPr>
    </w:p>
    <w:p w14:paraId="76197A40">
      <w:pPr>
        <w:pStyle w:val="168"/>
        <w:spacing w:line="360" w:lineRule="auto"/>
        <w:rPr>
          <w:b/>
          <w:color w:val="auto"/>
        </w:rPr>
      </w:pPr>
      <w:r>
        <w:rPr>
          <w:rFonts w:hint="eastAsia"/>
          <w:color w:val="auto"/>
          <w:lang w:val="zh-TW"/>
        </w:rPr>
        <w:t>【注</w:t>
      </w:r>
      <w:r>
        <w:rPr>
          <w:rFonts w:hint="eastAsia"/>
          <w:color w:val="auto"/>
        </w:rPr>
        <w:t>：联合体形式投标的，双方应同时盖章承诺，本承诺书所填写内容必须响应招标文件要求，否则按无效标处理</w:t>
      </w:r>
      <w:r>
        <w:rPr>
          <w:rFonts w:hint="eastAsia"/>
          <w:color w:val="auto"/>
          <w:lang w:val="zh-TW" w:eastAsia="zh-TW"/>
        </w:rPr>
        <w:t>】</w:t>
      </w:r>
    </w:p>
    <w:p w14:paraId="3E4452EC">
      <w:pPr>
        <w:pStyle w:val="45"/>
        <w:ind w:firstLine="422"/>
        <w:rPr>
          <w:b/>
        </w:rPr>
      </w:pPr>
    </w:p>
    <w:p w14:paraId="1C083732">
      <w:pPr>
        <w:pStyle w:val="3"/>
        <w:keepNext/>
        <w:keepLines/>
        <w:tabs>
          <w:tab w:val="clear" w:pos="425"/>
          <w:tab w:val="clear" w:pos="851"/>
        </w:tabs>
        <w:spacing w:before="260" w:after="260"/>
        <w:jc w:val="center"/>
        <w:rPr>
          <w:rFonts w:ascii="黑体" w:hAnsi="黑体" w:eastAsia="黑体"/>
          <w:sz w:val="32"/>
          <w:szCs w:val="44"/>
        </w:rPr>
      </w:pPr>
      <w:bookmarkStart w:id="502" w:name="_Toc61968505"/>
      <w:bookmarkStart w:id="503" w:name="_Toc529430091"/>
      <w:r>
        <w:rPr>
          <w:sz w:val="28"/>
          <w:szCs w:val="28"/>
        </w:rPr>
        <w:br w:type="page"/>
      </w:r>
      <w:bookmarkStart w:id="504" w:name="_Toc115196126"/>
      <w:bookmarkStart w:id="505" w:name="_Toc98504169"/>
      <w:r>
        <w:rPr>
          <w:rFonts w:hint="eastAsia" w:ascii="黑体" w:hAnsi="黑体" w:eastAsia="黑体"/>
          <w:sz w:val="32"/>
          <w:szCs w:val="44"/>
        </w:rPr>
        <w:t>十、项目风险承诺书</w:t>
      </w:r>
      <w:bookmarkEnd w:id="504"/>
      <w:bookmarkEnd w:id="505"/>
    </w:p>
    <w:p w14:paraId="04E251B4">
      <w:pPr>
        <w:ind w:firstLine="420" w:firstLineChars="200"/>
        <w:rPr>
          <w:szCs w:val="21"/>
        </w:rPr>
      </w:pPr>
    </w:p>
    <w:p w14:paraId="3DD0382D">
      <w:pPr>
        <w:rPr>
          <w:szCs w:val="21"/>
        </w:rPr>
      </w:pPr>
      <w:r>
        <w:rPr>
          <w:rFonts w:hint="eastAsia"/>
          <w:szCs w:val="21"/>
        </w:rPr>
        <w:t>盐城市联鑫钢铁有限公司：</w:t>
      </w:r>
    </w:p>
    <w:p w14:paraId="53F1BAC7">
      <w:pPr>
        <w:ind w:firstLine="420" w:firstLineChars="200"/>
        <w:rPr>
          <w:szCs w:val="21"/>
        </w:rPr>
      </w:pPr>
    </w:p>
    <w:p w14:paraId="5679AE60">
      <w:pPr>
        <w:ind w:firstLine="420" w:firstLineChars="200"/>
        <w:rPr>
          <w:szCs w:val="21"/>
        </w:rPr>
      </w:pPr>
      <w:r>
        <w:rPr>
          <w:rFonts w:hint="eastAsia"/>
          <w:szCs w:val="21"/>
        </w:rPr>
        <w:t>我公司已经充分理解招标文件及《发包人要求》等其附件中的各项条款带来的风险和工程（EPC）总承包模式存在的风险，决定参与贵单位就地技改项目工程（EPC）总承包投标，风险已在投标报价中进行充分考虑，并作出响应投标报价，我公司自愿接受招标文件各项条款的约束，且将上述招标文件的各项条款纳入工程（EPC）总承包合同并作为其中一部分，我公司中标后将严格执行合同，承担合同约定的风险。</w:t>
      </w:r>
    </w:p>
    <w:p w14:paraId="6FFCA13B">
      <w:pPr>
        <w:ind w:firstLine="420" w:firstLineChars="200"/>
        <w:rPr>
          <w:szCs w:val="21"/>
        </w:rPr>
      </w:pPr>
    </w:p>
    <w:p w14:paraId="74ADCFE7">
      <w:pPr>
        <w:ind w:firstLine="420" w:firstLineChars="200"/>
        <w:rPr>
          <w:szCs w:val="21"/>
        </w:rPr>
      </w:pPr>
    </w:p>
    <w:p w14:paraId="188FB276">
      <w:pPr>
        <w:ind w:firstLine="420" w:firstLineChars="200"/>
        <w:rPr>
          <w:szCs w:val="21"/>
        </w:rPr>
      </w:pPr>
    </w:p>
    <w:p w14:paraId="0578E313">
      <w:pPr>
        <w:ind w:firstLine="420" w:firstLineChars="200"/>
        <w:rPr>
          <w:szCs w:val="21"/>
        </w:rPr>
      </w:pPr>
      <w:r>
        <w:rPr>
          <w:rFonts w:hint="eastAsia"/>
          <w:szCs w:val="21"/>
        </w:rPr>
        <w:t>特此承诺！</w:t>
      </w:r>
    </w:p>
    <w:p w14:paraId="338058F7">
      <w:pPr>
        <w:rPr>
          <w:b/>
          <w:szCs w:val="21"/>
        </w:rPr>
      </w:pPr>
    </w:p>
    <w:p w14:paraId="2BE4505B">
      <w:pPr>
        <w:ind w:firstLine="422" w:firstLineChars="200"/>
        <w:rPr>
          <w:b/>
          <w:szCs w:val="21"/>
        </w:rPr>
      </w:pPr>
    </w:p>
    <w:p w14:paraId="57E674F7">
      <w:pPr>
        <w:ind w:firstLine="422" w:firstLineChars="200"/>
        <w:rPr>
          <w:b/>
          <w:szCs w:val="21"/>
        </w:rPr>
      </w:pPr>
    </w:p>
    <w:p w14:paraId="1FB9D098">
      <w:pPr>
        <w:ind w:firstLine="422" w:firstLineChars="200"/>
        <w:rPr>
          <w:b/>
          <w:szCs w:val="21"/>
        </w:rPr>
      </w:pPr>
    </w:p>
    <w:p w14:paraId="0CD6BCD5">
      <w:pPr>
        <w:ind w:firstLine="422" w:firstLineChars="200"/>
        <w:rPr>
          <w:b/>
          <w:szCs w:val="21"/>
        </w:rPr>
      </w:pPr>
    </w:p>
    <w:p w14:paraId="0A7C340D">
      <w:pPr>
        <w:ind w:right="420" w:firstLine="3702" w:firstLineChars="1756"/>
        <w:rPr>
          <w:b/>
          <w:szCs w:val="21"/>
        </w:rPr>
      </w:pPr>
      <w:r>
        <w:rPr>
          <w:rFonts w:hint="eastAsia"/>
          <w:b/>
          <w:szCs w:val="21"/>
        </w:rPr>
        <w:t xml:space="preserve"> </w:t>
      </w:r>
    </w:p>
    <w:p w14:paraId="2389541D">
      <w:pPr>
        <w:jc w:val="right"/>
        <w:rPr>
          <w:szCs w:val="21"/>
        </w:rPr>
      </w:pPr>
    </w:p>
    <w:p w14:paraId="1F7C54B5">
      <w:pPr>
        <w:ind w:right="420"/>
        <w:jc w:val="right"/>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rPr>
        <w:t xml:space="preserve"> </w:t>
      </w:r>
    </w:p>
    <w:p w14:paraId="6690373B">
      <w:pPr>
        <w:jc w:val="center"/>
        <w:rPr>
          <w:sz w:val="32"/>
          <w:szCs w:val="32"/>
        </w:rPr>
      </w:pPr>
    </w:p>
    <w:p w14:paraId="20C1C969">
      <w:pPr>
        <w:pStyle w:val="45"/>
        <w:ind w:firstLine="420"/>
      </w:pPr>
    </w:p>
    <w:p w14:paraId="3B14128E"/>
    <w:p w14:paraId="602E7D61">
      <w:pPr>
        <w:pStyle w:val="44"/>
        <w:spacing w:line="360" w:lineRule="auto"/>
        <w:rPr>
          <w:lang w:val="zh-TW"/>
        </w:rPr>
      </w:pPr>
      <w:r>
        <w:rPr>
          <w:rFonts w:hint="eastAsia"/>
          <w:lang w:val="zh-TW"/>
        </w:rPr>
        <w:t>【注：</w:t>
      </w:r>
      <w:r>
        <w:rPr>
          <w:rFonts w:hint="eastAsia"/>
          <w:szCs w:val="21"/>
        </w:rPr>
        <w:t>联合体形式投标的，双方应同时盖章承诺，</w:t>
      </w:r>
      <w:r>
        <w:rPr>
          <w:rFonts w:hint="eastAsia"/>
          <w:lang w:val="zh-TW"/>
        </w:rPr>
        <w:t>本承诺书所填写内容必须响应招标文件要求，否则按无效标处理】</w:t>
      </w:r>
    </w:p>
    <w:p w14:paraId="3E9B45FA">
      <w:pPr>
        <w:ind w:firstLine="560" w:firstLineChars="200"/>
        <w:rPr>
          <w:rFonts w:ascii="Arial" w:hAnsi="Arial" w:eastAsia="黑体"/>
          <w:b/>
          <w:bCs/>
          <w:sz w:val="28"/>
          <w:szCs w:val="28"/>
        </w:rPr>
      </w:pPr>
      <w:r>
        <w:rPr>
          <w:sz w:val="28"/>
          <w:szCs w:val="28"/>
        </w:rPr>
        <w:br w:type="page"/>
      </w:r>
    </w:p>
    <w:p w14:paraId="03B6857B">
      <w:pPr>
        <w:pStyle w:val="3"/>
        <w:keepNext/>
        <w:keepLines/>
        <w:tabs>
          <w:tab w:val="clear" w:pos="425"/>
          <w:tab w:val="clear" w:pos="851"/>
        </w:tabs>
        <w:spacing w:before="260" w:after="260"/>
        <w:jc w:val="center"/>
        <w:rPr>
          <w:rFonts w:ascii="黑体" w:hAnsi="黑体" w:eastAsia="黑体"/>
          <w:sz w:val="32"/>
          <w:szCs w:val="44"/>
        </w:rPr>
      </w:pPr>
      <w:bookmarkStart w:id="506" w:name="_Toc115196129"/>
      <w:bookmarkStart w:id="507" w:name="_Toc98504171"/>
      <w:r>
        <w:rPr>
          <w:rFonts w:hint="eastAsia" w:ascii="黑体" w:hAnsi="黑体" w:eastAsia="黑体"/>
          <w:sz w:val="32"/>
          <w:szCs w:val="44"/>
        </w:rPr>
        <w:t>十二、</w:t>
      </w:r>
      <w:r>
        <w:rPr>
          <w:rFonts w:ascii="黑体" w:hAnsi="黑体" w:eastAsia="黑体"/>
          <w:sz w:val="32"/>
          <w:szCs w:val="44"/>
        </w:rPr>
        <w:t>其他资料</w:t>
      </w:r>
      <w:bookmarkEnd w:id="502"/>
      <w:bookmarkEnd w:id="506"/>
      <w:bookmarkEnd w:id="507"/>
      <w:r>
        <w:rPr>
          <w:rFonts w:hint="eastAsia" w:ascii="黑体" w:hAnsi="黑体" w:eastAsia="黑体"/>
          <w:sz w:val="32"/>
          <w:szCs w:val="44"/>
        </w:rPr>
        <w:t xml:space="preserve"> </w:t>
      </w:r>
      <w:bookmarkEnd w:id="503"/>
    </w:p>
    <w:p w14:paraId="121F878D">
      <w:pPr>
        <w:pStyle w:val="16"/>
      </w:pPr>
    </w:p>
    <w:p w14:paraId="530BE787"/>
    <w:sectPr>
      <w:headerReference r:id="rId6" w:type="default"/>
      <w:footerReference r:id="rId7" w:type="default"/>
      <w:pgSz w:w="11906" w:h="16838"/>
      <w:pgMar w:top="1440" w:right="1558" w:bottom="1440" w:left="1800" w:header="680" w:footer="624"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bri Light">
    <w:altName w:val="Segoe Print"/>
    <w:panose1 w:val="020F030202020403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A00002EF" w:usb1="4000004B" w:usb2="00000000" w:usb3="00000000" w:csb0="2000009F" w:csb1="00000000"/>
  </w:font>
  <w:font w:name="方正大标宋简体">
    <w:altName w:val="微软雅黑"/>
    <w:panose1 w:val="02000000000000000000"/>
    <w:charset w:val="86"/>
    <w:family w:val="roman"/>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0C67">
    <w:pPr>
      <w:pStyle w:val="27"/>
      <w:jc w:val="center"/>
    </w:pPr>
    <w:r>
      <w:fldChar w:fldCharType="begin"/>
    </w:r>
    <w:r>
      <w:instrText xml:space="preserve">PAGE   \* MERGEFORMAT</w:instrText>
    </w:r>
    <w:r>
      <w:fldChar w:fldCharType="separate"/>
    </w:r>
    <w:r>
      <w:rPr>
        <w:lang w:val="zh-CN"/>
      </w:rPr>
      <w:t>2</w:t>
    </w:r>
    <w:r>
      <w:fldChar w:fldCharType="end"/>
    </w:r>
  </w:p>
  <w:p w14:paraId="1898451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221E9FC">
        <w:pPr>
          <w:pStyle w:val="27"/>
          <w:jc w:val="center"/>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50C6">
    <w:pPr>
      <w:pStyle w:val="28"/>
    </w:pPr>
    <w:r>
      <w:rPr>
        <w:rFonts w:hint="eastAsia"/>
        <w:szCs w:val="21"/>
      </w:rPr>
      <w:t>盐</w:t>
    </w:r>
    <w:r>
      <w:rPr>
        <w:rFonts w:hint="eastAsia"/>
        <w:szCs w:val="21"/>
        <w:lang w:eastAsia="zh-CN"/>
      </w:rPr>
      <w:t>盐城市联鑫钢铁有限公司优特钢升级改造项目（EPC）总承包</w:t>
    </w:r>
    <w:r>
      <w:rPr>
        <w:rFonts w:hint="eastAsia"/>
        <w:szCs w:val="21"/>
      </w:rPr>
      <w:t>招标文件</w:t>
    </w:r>
  </w:p>
  <w:p w14:paraId="075C3C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23154"/>
    <w:multiLevelType w:val="singleLevel"/>
    <w:tmpl w:val="B4423154"/>
    <w:lvl w:ilvl="0" w:tentative="0">
      <w:start w:val="1"/>
      <w:numFmt w:val="chineseCounting"/>
      <w:pStyle w:val="172"/>
      <w:suff w:val="nothing"/>
      <w:lvlText w:val="%1、"/>
      <w:lvlJc w:val="left"/>
      <w:rPr>
        <w:rFonts w:hint="eastAsia"/>
      </w:rPr>
    </w:lvl>
  </w:abstractNum>
  <w:abstractNum w:abstractNumId="1">
    <w:nsid w:val="DDF38194"/>
    <w:multiLevelType w:val="multilevel"/>
    <w:tmpl w:val="DDF3819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4"/>
    <w:multiLevelType w:val="multilevel"/>
    <w:tmpl w:val="00000004"/>
    <w:lvl w:ilvl="0" w:tentative="0">
      <w:start w:val="1"/>
      <w:numFmt w:val="chineseCountingThousand"/>
      <w:pStyle w:val="195"/>
      <w:suff w:val="nothing"/>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6"/>
    <w:multiLevelType w:val="multilevel"/>
    <w:tmpl w:val="00000006"/>
    <w:lvl w:ilvl="0" w:tentative="0">
      <w:start w:val="1"/>
      <w:numFmt w:val="decimal"/>
      <w:pStyle w:val="194"/>
      <w:lvlText w:val="附件%1"/>
      <w:lvlJc w:val="left"/>
      <w:pPr>
        <w:ind w:left="240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C"/>
    <w:multiLevelType w:val="multilevel"/>
    <w:tmpl w:val="0000000C"/>
    <w:lvl w:ilvl="0" w:tentative="0">
      <w:start w:val="1"/>
      <w:numFmt w:val="lowerRoman"/>
      <w:pStyle w:val="204"/>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D"/>
    <w:multiLevelType w:val="multilevel"/>
    <w:tmpl w:val="0000000D"/>
    <w:lvl w:ilvl="0" w:tentative="0">
      <w:start w:val="1"/>
      <w:numFmt w:val="lowerLetter"/>
      <w:pStyle w:val="20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E"/>
    <w:multiLevelType w:val="multilevel"/>
    <w:tmpl w:val="0000000E"/>
    <w:lvl w:ilvl="0" w:tentative="0">
      <w:start w:val="1"/>
      <w:numFmt w:val="decimal"/>
      <w:lvlText w:val="第%1条"/>
      <w:lvlJc w:val="left"/>
      <w:pPr>
        <w:ind w:left="0" w:firstLine="0"/>
      </w:pPr>
      <w:rPr>
        <w:rFonts w:hint="eastAsia"/>
      </w:rPr>
    </w:lvl>
    <w:lvl w:ilvl="1" w:tentative="0">
      <w:start w:val="1"/>
      <w:numFmt w:val="decimal"/>
      <w:pStyle w:val="34"/>
      <w:lvlText w:val="%1.%2"/>
      <w:lvlJc w:val="left"/>
      <w:pPr>
        <w:ind w:left="0" w:firstLine="0"/>
      </w:pPr>
      <w:rPr>
        <w:rFonts w:hint="eastAsia"/>
      </w:rPr>
    </w:lvl>
    <w:lvl w:ilvl="2" w:tentative="0">
      <w:start w:val="1"/>
      <w:numFmt w:val="decimal"/>
      <w:lvlText w:val="%1.%2.%3"/>
      <w:lvlJc w:val="left"/>
      <w:pPr>
        <w:ind w:left="426" w:firstLine="0"/>
      </w:pPr>
      <w:rPr>
        <w:rFonts w:hint="eastAsia"/>
      </w:rPr>
    </w:lvl>
    <w:lvl w:ilvl="3" w:tentative="0">
      <w:start w:val="1"/>
      <w:numFmt w:val="decimal"/>
      <w:pStyle w:val="200"/>
      <w:lvlText w:val="%4)"/>
      <w:lvlJc w:val="left"/>
      <w:pPr>
        <w:ind w:left="1134"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00000010"/>
    <w:multiLevelType w:val="multilevel"/>
    <w:tmpl w:val="00000010"/>
    <w:lvl w:ilvl="0" w:tentative="0">
      <w:start w:val="1"/>
      <w:numFmt w:val="chineseCountingThousand"/>
      <w:pStyle w:val="207"/>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20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E967D5"/>
    <w:multiLevelType w:val="multilevel"/>
    <w:tmpl w:val="01E967D5"/>
    <w:lvl w:ilvl="0" w:tentative="0">
      <w:start w:val="1"/>
      <w:numFmt w:val="chineseCountingThousand"/>
      <w:pStyle w:val="16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3A0E92"/>
    <w:multiLevelType w:val="multilevel"/>
    <w:tmpl w:val="063A0E9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522"/>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07155775"/>
    <w:multiLevelType w:val="multilevel"/>
    <w:tmpl w:val="0715577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426" w:firstLine="0"/>
      </w:pPr>
      <w:rPr>
        <w:rFonts w:hint="eastAsia"/>
      </w:rPr>
    </w:lvl>
    <w:lvl w:ilvl="2" w:tentative="0">
      <w:start w:val="1"/>
      <w:numFmt w:val="decimal"/>
      <w:suff w:val="nothing"/>
      <w:lvlText w:val="%3．"/>
      <w:lvlJc w:val="left"/>
      <w:pPr>
        <w:ind w:left="-116" w:firstLine="400"/>
      </w:pPr>
      <w:rPr>
        <w:rFonts w:hint="eastAsia"/>
      </w:rPr>
    </w:lvl>
    <w:lvl w:ilvl="3" w:tentative="0">
      <w:start w:val="1"/>
      <w:numFmt w:val="decimal"/>
      <w:suff w:val="nothing"/>
      <w:lvlText w:val="（%4）"/>
      <w:lvlJc w:val="left"/>
      <w:pPr>
        <w:ind w:left="45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138"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09041033"/>
    <w:multiLevelType w:val="multilevel"/>
    <w:tmpl w:val="09041033"/>
    <w:lvl w:ilvl="0" w:tentative="0">
      <w:start w:val="1"/>
      <w:numFmt w:val="upperLetter"/>
      <w:suff w:val="nothing"/>
      <w:lvlText w:val="%1"/>
      <w:lvlJc w:val="left"/>
      <w:pPr>
        <w:ind w:left="-279" w:firstLine="0"/>
      </w:pPr>
    </w:lvl>
    <w:lvl w:ilvl="1" w:tentative="0">
      <w:start w:val="1"/>
      <w:numFmt w:val="decimal"/>
      <w:pStyle w:val="479"/>
      <w:suff w:val="nothing"/>
      <w:lvlText w:val="图 %1.%2　"/>
      <w:lvlJc w:val="left"/>
      <w:pPr>
        <w:ind w:left="-279" w:firstLine="0"/>
      </w:pPr>
      <w:rPr>
        <w:rFonts w:hint="eastAsia" w:ascii="Times New Roman" w:hAnsi="Times New Roman" w:eastAsia="黑体"/>
        <w:b w:val="0"/>
        <w:i w:val="0"/>
        <w:sz w:val="21"/>
        <w:szCs w:val="21"/>
      </w:rPr>
    </w:lvl>
    <w:lvl w:ilvl="2" w:tentative="0">
      <w:start w:val="1"/>
      <w:numFmt w:val="none"/>
      <w:lvlRestart w:val="0"/>
      <w:suff w:val="nothing"/>
      <w:lvlText w:val=""/>
      <w:lvlJc w:val="left"/>
      <w:pPr>
        <w:ind w:left="-279" w:firstLine="0"/>
      </w:pPr>
    </w:lvl>
    <w:lvl w:ilvl="3" w:tentative="0">
      <w:start w:val="1"/>
      <w:numFmt w:val="none"/>
      <w:suff w:val="nothing"/>
      <w:lvlText w:val=""/>
      <w:lvlJc w:val="left"/>
      <w:pPr>
        <w:ind w:left="-279" w:firstLine="0"/>
      </w:pPr>
    </w:lvl>
    <w:lvl w:ilvl="4" w:tentative="0">
      <w:start w:val="1"/>
      <w:numFmt w:val="none"/>
      <w:suff w:val="nothing"/>
      <w:lvlText w:val=""/>
      <w:lvlJc w:val="left"/>
      <w:pPr>
        <w:ind w:left="-279" w:firstLine="0"/>
      </w:pPr>
    </w:lvl>
    <w:lvl w:ilvl="5" w:tentative="0">
      <w:start w:val="1"/>
      <w:numFmt w:val="none"/>
      <w:suff w:val="nothing"/>
      <w:lvlText w:val=""/>
      <w:lvlJc w:val="left"/>
      <w:pPr>
        <w:ind w:left="-279" w:firstLine="0"/>
      </w:pPr>
    </w:lvl>
    <w:lvl w:ilvl="6" w:tentative="0">
      <w:start w:val="1"/>
      <w:numFmt w:val="none"/>
      <w:suff w:val="nothing"/>
      <w:lvlText w:val=""/>
      <w:lvlJc w:val="left"/>
      <w:pPr>
        <w:ind w:left="-279" w:firstLine="0"/>
      </w:pPr>
    </w:lvl>
    <w:lvl w:ilvl="7" w:tentative="0">
      <w:start w:val="1"/>
      <w:numFmt w:val="none"/>
      <w:suff w:val="nothing"/>
      <w:lvlText w:val=""/>
      <w:lvlJc w:val="left"/>
      <w:pPr>
        <w:ind w:left="-279" w:firstLine="0"/>
      </w:pPr>
    </w:lvl>
    <w:lvl w:ilvl="8" w:tentative="0">
      <w:start w:val="1"/>
      <w:numFmt w:val="none"/>
      <w:suff w:val="nothing"/>
      <w:lvlText w:val=""/>
      <w:lvlJc w:val="left"/>
      <w:pPr>
        <w:ind w:left="-279" w:firstLine="0"/>
      </w:pPr>
    </w:lvl>
  </w:abstractNum>
  <w:abstractNum w:abstractNumId="1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4">
    <w:nsid w:val="28D9536E"/>
    <w:multiLevelType w:val="multilevel"/>
    <w:tmpl w:val="28D9536E"/>
    <w:lvl w:ilvl="0" w:tentative="0">
      <w:start w:val="1"/>
      <w:numFmt w:val="upperLetter"/>
      <w:pStyle w:val="150"/>
      <w:lvlText w:val="(%1)"/>
      <w:lvlJc w:val="left"/>
      <w:pPr>
        <w:tabs>
          <w:tab w:val="left" w:pos="624"/>
        </w:tabs>
        <w:ind w:left="624" w:hanging="624"/>
      </w:pPr>
    </w:lvl>
    <w:lvl w:ilvl="1" w:tentative="0">
      <w:start w:val="1"/>
      <w:numFmt w:val="upperLetter"/>
      <w:pStyle w:val="590"/>
      <w:lvlText w:val="(%2)"/>
      <w:lvlJc w:val="left"/>
      <w:pPr>
        <w:tabs>
          <w:tab w:val="left" w:pos="1417"/>
        </w:tabs>
        <w:ind w:left="1417" w:hanging="793"/>
      </w:pPr>
    </w:lvl>
    <w:lvl w:ilvl="2" w:tentative="0">
      <w:start w:val="1"/>
      <w:numFmt w:val="upperLetter"/>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15">
    <w:nsid w:val="301F5202"/>
    <w:multiLevelType w:val="multilevel"/>
    <w:tmpl w:val="301F5202"/>
    <w:lvl w:ilvl="0" w:tentative="0">
      <w:start w:val="1"/>
      <w:numFmt w:val="decimal"/>
      <w:pStyle w:val="17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16">
    <w:nsid w:val="3AA800C6"/>
    <w:multiLevelType w:val="multilevel"/>
    <w:tmpl w:val="3AA800C6"/>
    <w:lvl w:ilvl="0" w:tentative="0">
      <w:start w:val="1"/>
      <w:numFmt w:val="decimal"/>
      <w:pStyle w:val="16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7">
    <w:nsid w:val="41076666"/>
    <w:multiLevelType w:val="multilevel"/>
    <w:tmpl w:val="4107666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2687BB6"/>
    <w:multiLevelType w:val="multilevel"/>
    <w:tmpl w:val="62687BB6"/>
    <w:lvl w:ilvl="0" w:tentative="0">
      <w:start w:val="1"/>
      <w:numFmt w:val="decimal"/>
      <w:lvlText w:val="附件%1"/>
      <w:lvlJc w:val="left"/>
      <w:pPr>
        <w:ind w:left="3681" w:hanging="420"/>
      </w:pPr>
      <w:rPr>
        <w:sz w:val="30"/>
        <w:szCs w:val="30"/>
      </w:rPr>
    </w:lvl>
    <w:lvl w:ilvl="1" w:tentative="0">
      <w:start w:val="1"/>
      <w:numFmt w:val="lowerLetter"/>
      <w:pStyle w:val="160"/>
      <w:lvlText w:val="%2)"/>
      <w:lvlJc w:val="left"/>
      <w:pPr>
        <w:ind w:left="983" w:hanging="420"/>
      </w:pPr>
    </w:lvl>
    <w:lvl w:ilvl="2" w:tentative="0">
      <w:start w:val="1"/>
      <w:numFmt w:val="lowerRoman"/>
      <w:pStyle w:val="188"/>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9">
    <w:nsid w:val="6E87019F"/>
    <w:multiLevelType w:val="multilevel"/>
    <w:tmpl w:val="6E87019F"/>
    <w:lvl w:ilvl="0" w:tentative="0">
      <w:start w:val="1"/>
      <w:numFmt w:val="chineseCountingThousand"/>
      <w:pStyle w:val="18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0">
    <w:nsid w:val="7DEF16F5"/>
    <w:multiLevelType w:val="multilevel"/>
    <w:tmpl w:val="7DEF16F5"/>
    <w:lvl w:ilvl="0" w:tentative="0">
      <w:start w:val="1"/>
      <w:numFmt w:val="upperLetter"/>
      <w:pStyle w:val="472"/>
      <w:suff w:val="nothing"/>
      <w:lvlText w:val="附　录　%1"/>
      <w:lvlJc w:val="left"/>
      <w:pPr>
        <w:ind w:left="8080" w:firstLine="0"/>
      </w:pPr>
      <w:rPr>
        <w:rFonts w:hint="default" w:ascii="Times New Roman" w:hAnsi="Times New Roman" w:eastAsia="黑体" w:cs="Times New Roman"/>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47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6"/>
  </w:num>
  <w:num w:numId="2">
    <w:abstractNumId w:val="14"/>
  </w:num>
  <w:num w:numId="3">
    <w:abstractNumId w:val="13"/>
    <w:lvlOverride w:ilvl="0">
      <w:lvl w:ilvl="0" w:tentative="1">
        <w:start w:val="1"/>
        <w:numFmt w:val="decimal"/>
        <w:lvlText w:val="第%1条"/>
        <w:lvlJc w:val="left"/>
        <w:pPr>
          <w:ind w:left="0" w:firstLine="0"/>
        </w:pPr>
      </w:lvl>
    </w:lvlOverride>
    <w:lvlOverride w:ilvl="1">
      <w:lvl w:ilvl="1" w:tentative="1">
        <w:start w:val="1"/>
        <w:numFmt w:val="decimal"/>
        <w:pStyle w:val="154"/>
        <w:lvlText w:val="%1.%2"/>
        <w:lvlJc w:val="left"/>
        <w:pPr>
          <w:ind w:left="1843" w:firstLine="0"/>
        </w:pPr>
      </w:lvl>
    </w:lvlOverride>
    <w:lvlOverride w:ilvl="2">
      <w:lvl w:ilvl="2" w:tentative="1">
        <w:start w:val="1"/>
        <w:numFmt w:val="decimal"/>
        <w:pStyle w:val="152"/>
        <w:lvlText w:val="%1.%2.%3"/>
        <w:lvlJc w:val="left"/>
        <w:pPr>
          <w:ind w:left="2126" w:firstLine="0"/>
        </w:pPr>
      </w:lvl>
    </w:lvlOverride>
    <w:lvlOverride w:ilvl="3">
      <w:lvl w:ilvl="3" w:tentative="1">
        <w:start w:val="1"/>
        <w:numFmt w:val="decimal"/>
        <w:pStyle w:val="184"/>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18"/>
  </w:num>
  <w:num w:numId="5">
    <w:abstractNumId w:val="9"/>
  </w:num>
  <w:num w:numId="6">
    <w:abstractNumId w:val="13"/>
    <w:lvlOverride w:ilvl="0">
      <w:lvl w:ilvl="0" w:tentative="1">
        <w:start w:val="1"/>
        <w:numFmt w:val="decimal"/>
        <w:pStyle w:val="586"/>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165"/>
        <w:lvlText w:val="(%5)"/>
        <w:lvlJc w:val="left"/>
        <w:pPr>
          <w:ind w:left="310" w:firstLine="400"/>
        </w:pPr>
      </w:lvl>
    </w:lvlOverride>
    <w:lvlOverride w:ilvl="5">
      <w:lvl w:ilvl="5" w:tentative="1">
        <w:start w:val="1"/>
        <w:numFmt w:val="decimal"/>
        <w:pStyle w:val="171"/>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7">
    <w:abstractNumId w:val="16"/>
  </w:num>
  <w:num w:numId="8">
    <w:abstractNumId w:val="0"/>
  </w:num>
  <w:num w:numId="9">
    <w:abstractNumId w:val="15"/>
  </w:num>
  <w:num w:numId="10">
    <w:abstractNumId w:val="19"/>
  </w:num>
  <w:num w:numId="11">
    <w:abstractNumId w:val="3"/>
  </w:num>
  <w:num w:numId="12">
    <w:abstractNumId w:val="2"/>
  </w:num>
  <w:num w:numId="13">
    <w:abstractNumId w:val="8"/>
  </w:num>
  <w:num w:numId="14">
    <w:abstractNumId w:val="4"/>
  </w:num>
  <w:num w:numId="15">
    <w:abstractNumId w:val="5"/>
  </w:num>
  <w:num w:numId="16">
    <w:abstractNumId w:val="7"/>
  </w:num>
  <w:num w:numId="17">
    <w:abstractNumId w:val="20"/>
  </w:num>
  <w:num w:numId="18">
    <w:abstractNumId w:val="12"/>
  </w:num>
  <w:num w:numId="19">
    <w:abstractNumId w:val="10"/>
  </w:num>
  <w:num w:numId="20">
    <w:abstractNumId w:val="17"/>
  </w:num>
  <w:num w:numId="21">
    <w:abstractNumId w:val="11"/>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侯晓利">
    <w15:presenceInfo w15:providerId="WPS Office" w15:userId="4239410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zgxMjc3YWQxZTk4NGI2NzNmMmZlNzRiZTBmNjUifQ=="/>
  </w:docVars>
  <w:rsids>
    <w:rsidRoot w:val="00941DC5"/>
    <w:rsid w:val="0000058D"/>
    <w:rsid w:val="00001492"/>
    <w:rsid w:val="00001EB4"/>
    <w:rsid w:val="000022ED"/>
    <w:rsid w:val="0000338A"/>
    <w:rsid w:val="0000481F"/>
    <w:rsid w:val="00004AA6"/>
    <w:rsid w:val="00005274"/>
    <w:rsid w:val="00005D92"/>
    <w:rsid w:val="0000768C"/>
    <w:rsid w:val="00010D8E"/>
    <w:rsid w:val="00013AC1"/>
    <w:rsid w:val="00013F78"/>
    <w:rsid w:val="0001554F"/>
    <w:rsid w:val="00017750"/>
    <w:rsid w:val="000203B1"/>
    <w:rsid w:val="00020533"/>
    <w:rsid w:val="0002065E"/>
    <w:rsid w:val="00021286"/>
    <w:rsid w:val="00021489"/>
    <w:rsid w:val="00022025"/>
    <w:rsid w:val="000221B3"/>
    <w:rsid w:val="0002240F"/>
    <w:rsid w:val="000227FE"/>
    <w:rsid w:val="00023A4D"/>
    <w:rsid w:val="000243DD"/>
    <w:rsid w:val="00025E95"/>
    <w:rsid w:val="00026288"/>
    <w:rsid w:val="00027088"/>
    <w:rsid w:val="0002741A"/>
    <w:rsid w:val="00031FFD"/>
    <w:rsid w:val="0003471F"/>
    <w:rsid w:val="00034FA3"/>
    <w:rsid w:val="00035558"/>
    <w:rsid w:val="000366D2"/>
    <w:rsid w:val="00037998"/>
    <w:rsid w:val="000413F4"/>
    <w:rsid w:val="000415F7"/>
    <w:rsid w:val="00042871"/>
    <w:rsid w:val="0004321B"/>
    <w:rsid w:val="00043582"/>
    <w:rsid w:val="00043687"/>
    <w:rsid w:val="0004402B"/>
    <w:rsid w:val="00044313"/>
    <w:rsid w:val="00044B04"/>
    <w:rsid w:val="000468A5"/>
    <w:rsid w:val="00046D71"/>
    <w:rsid w:val="000506F0"/>
    <w:rsid w:val="00050CD7"/>
    <w:rsid w:val="0005122A"/>
    <w:rsid w:val="000516EC"/>
    <w:rsid w:val="00052260"/>
    <w:rsid w:val="00052855"/>
    <w:rsid w:val="00052EA8"/>
    <w:rsid w:val="000567EA"/>
    <w:rsid w:val="000577C0"/>
    <w:rsid w:val="000577D2"/>
    <w:rsid w:val="00060524"/>
    <w:rsid w:val="00060AEA"/>
    <w:rsid w:val="00060D6C"/>
    <w:rsid w:val="000615CB"/>
    <w:rsid w:val="000618C2"/>
    <w:rsid w:val="0006210C"/>
    <w:rsid w:val="000632CA"/>
    <w:rsid w:val="00066299"/>
    <w:rsid w:val="000670B5"/>
    <w:rsid w:val="000675EA"/>
    <w:rsid w:val="00070695"/>
    <w:rsid w:val="000731B7"/>
    <w:rsid w:val="00073A2D"/>
    <w:rsid w:val="0007425C"/>
    <w:rsid w:val="0007607A"/>
    <w:rsid w:val="00076534"/>
    <w:rsid w:val="000769D1"/>
    <w:rsid w:val="00077561"/>
    <w:rsid w:val="000808BD"/>
    <w:rsid w:val="00080C4A"/>
    <w:rsid w:val="00081A70"/>
    <w:rsid w:val="00083099"/>
    <w:rsid w:val="000835AE"/>
    <w:rsid w:val="00083F07"/>
    <w:rsid w:val="000847E8"/>
    <w:rsid w:val="00084AFE"/>
    <w:rsid w:val="00087227"/>
    <w:rsid w:val="00091AF9"/>
    <w:rsid w:val="00091F6D"/>
    <w:rsid w:val="00095216"/>
    <w:rsid w:val="00097228"/>
    <w:rsid w:val="0009755C"/>
    <w:rsid w:val="000975B5"/>
    <w:rsid w:val="00097C93"/>
    <w:rsid w:val="000A2699"/>
    <w:rsid w:val="000A26AC"/>
    <w:rsid w:val="000A304A"/>
    <w:rsid w:val="000A34C2"/>
    <w:rsid w:val="000A5CB9"/>
    <w:rsid w:val="000A7753"/>
    <w:rsid w:val="000A7A8A"/>
    <w:rsid w:val="000A7C9F"/>
    <w:rsid w:val="000A7DD7"/>
    <w:rsid w:val="000B06B9"/>
    <w:rsid w:val="000B1F1F"/>
    <w:rsid w:val="000B3A0B"/>
    <w:rsid w:val="000B4698"/>
    <w:rsid w:val="000B4D84"/>
    <w:rsid w:val="000B608F"/>
    <w:rsid w:val="000B727F"/>
    <w:rsid w:val="000B7779"/>
    <w:rsid w:val="000B7FEA"/>
    <w:rsid w:val="000C0E14"/>
    <w:rsid w:val="000C1105"/>
    <w:rsid w:val="000C1A15"/>
    <w:rsid w:val="000C48F6"/>
    <w:rsid w:val="000C5A78"/>
    <w:rsid w:val="000C6201"/>
    <w:rsid w:val="000C6E94"/>
    <w:rsid w:val="000C75BC"/>
    <w:rsid w:val="000C796F"/>
    <w:rsid w:val="000D0562"/>
    <w:rsid w:val="000D0789"/>
    <w:rsid w:val="000D0DA5"/>
    <w:rsid w:val="000D264F"/>
    <w:rsid w:val="000D3A97"/>
    <w:rsid w:val="000D6113"/>
    <w:rsid w:val="000E06D0"/>
    <w:rsid w:val="000E08BD"/>
    <w:rsid w:val="000E0B62"/>
    <w:rsid w:val="000E1538"/>
    <w:rsid w:val="000E1703"/>
    <w:rsid w:val="000E1C92"/>
    <w:rsid w:val="000E2329"/>
    <w:rsid w:val="000E397D"/>
    <w:rsid w:val="000E4355"/>
    <w:rsid w:val="000E44FF"/>
    <w:rsid w:val="000E46A3"/>
    <w:rsid w:val="000E485C"/>
    <w:rsid w:val="000E566C"/>
    <w:rsid w:val="000F1145"/>
    <w:rsid w:val="000F193D"/>
    <w:rsid w:val="000F2709"/>
    <w:rsid w:val="000F2BB4"/>
    <w:rsid w:val="000F4A71"/>
    <w:rsid w:val="000F4D8D"/>
    <w:rsid w:val="000F682A"/>
    <w:rsid w:val="000F6D3D"/>
    <w:rsid w:val="000F7086"/>
    <w:rsid w:val="00100E1E"/>
    <w:rsid w:val="00101C25"/>
    <w:rsid w:val="0010237D"/>
    <w:rsid w:val="0010372C"/>
    <w:rsid w:val="0010434F"/>
    <w:rsid w:val="00104B24"/>
    <w:rsid w:val="00104D3A"/>
    <w:rsid w:val="00106E85"/>
    <w:rsid w:val="00107359"/>
    <w:rsid w:val="001079C8"/>
    <w:rsid w:val="00110ED2"/>
    <w:rsid w:val="0011214A"/>
    <w:rsid w:val="00112435"/>
    <w:rsid w:val="001125C4"/>
    <w:rsid w:val="00113463"/>
    <w:rsid w:val="00113EEF"/>
    <w:rsid w:val="00116D20"/>
    <w:rsid w:val="00116DD4"/>
    <w:rsid w:val="00116F77"/>
    <w:rsid w:val="0011750F"/>
    <w:rsid w:val="001210D5"/>
    <w:rsid w:val="001213F9"/>
    <w:rsid w:val="001225C5"/>
    <w:rsid w:val="0012405E"/>
    <w:rsid w:val="00125120"/>
    <w:rsid w:val="0012600F"/>
    <w:rsid w:val="001260D3"/>
    <w:rsid w:val="00126503"/>
    <w:rsid w:val="0012677C"/>
    <w:rsid w:val="001301BF"/>
    <w:rsid w:val="001314A6"/>
    <w:rsid w:val="0013280B"/>
    <w:rsid w:val="00133DF6"/>
    <w:rsid w:val="00134194"/>
    <w:rsid w:val="00135AE4"/>
    <w:rsid w:val="00135B69"/>
    <w:rsid w:val="00135D34"/>
    <w:rsid w:val="00136196"/>
    <w:rsid w:val="00136FE3"/>
    <w:rsid w:val="001374E1"/>
    <w:rsid w:val="00137810"/>
    <w:rsid w:val="00137A4D"/>
    <w:rsid w:val="00141023"/>
    <w:rsid w:val="0014194A"/>
    <w:rsid w:val="00141B40"/>
    <w:rsid w:val="00143441"/>
    <w:rsid w:val="00144B3E"/>
    <w:rsid w:val="00145EEE"/>
    <w:rsid w:val="001461F2"/>
    <w:rsid w:val="001463D0"/>
    <w:rsid w:val="0014728D"/>
    <w:rsid w:val="0015022D"/>
    <w:rsid w:val="00152798"/>
    <w:rsid w:val="001528FC"/>
    <w:rsid w:val="00152B96"/>
    <w:rsid w:val="001538D3"/>
    <w:rsid w:val="00153CCE"/>
    <w:rsid w:val="0015574F"/>
    <w:rsid w:val="0015581E"/>
    <w:rsid w:val="00155C52"/>
    <w:rsid w:val="00157550"/>
    <w:rsid w:val="001575CA"/>
    <w:rsid w:val="0016166E"/>
    <w:rsid w:val="0016295F"/>
    <w:rsid w:val="0016537E"/>
    <w:rsid w:val="001671C3"/>
    <w:rsid w:val="0016740B"/>
    <w:rsid w:val="00170672"/>
    <w:rsid w:val="00170D53"/>
    <w:rsid w:val="00171072"/>
    <w:rsid w:val="0017372E"/>
    <w:rsid w:val="00173AD0"/>
    <w:rsid w:val="00173F47"/>
    <w:rsid w:val="0017424F"/>
    <w:rsid w:val="00174B85"/>
    <w:rsid w:val="001752BB"/>
    <w:rsid w:val="001770DD"/>
    <w:rsid w:val="00177843"/>
    <w:rsid w:val="0018306F"/>
    <w:rsid w:val="001838A2"/>
    <w:rsid w:val="00183F89"/>
    <w:rsid w:val="00184C85"/>
    <w:rsid w:val="0018500F"/>
    <w:rsid w:val="00185553"/>
    <w:rsid w:val="00185744"/>
    <w:rsid w:val="00186573"/>
    <w:rsid w:val="00186AA3"/>
    <w:rsid w:val="00187FA5"/>
    <w:rsid w:val="001928E6"/>
    <w:rsid w:val="00192E93"/>
    <w:rsid w:val="001937DB"/>
    <w:rsid w:val="00197CF8"/>
    <w:rsid w:val="001A0A51"/>
    <w:rsid w:val="001A1043"/>
    <w:rsid w:val="001A12F8"/>
    <w:rsid w:val="001A1E58"/>
    <w:rsid w:val="001A1E8D"/>
    <w:rsid w:val="001A2235"/>
    <w:rsid w:val="001A40D0"/>
    <w:rsid w:val="001A4B27"/>
    <w:rsid w:val="001B0BBE"/>
    <w:rsid w:val="001B23D3"/>
    <w:rsid w:val="001B3FAC"/>
    <w:rsid w:val="001B73C4"/>
    <w:rsid w:val="001B78D5"/>
    <w:rsid w:val="001C02E3"/>
    <w:rsid w:val="001C09F2"/>
    <w:rsid w:val="001C0CB2"/>
    <w:rsid w:val="001C137D"/>
    <w:rsid w:val="001C1E76"/>
    <w:rsid w:val="001C3552"/>
    <w:rsid w:val="001C361A"/>
    <w:rsid w:val="001C44F8"/>
    <w:rsid w:val="001C5209"/>
    <w:rsid w:val="001C53BA"/>
    <w:rsid w:val="001C68A3"/>
    <w:rsid w:val="001C7103"/>
    <w:rsid w:val="001C72AD"/>
    <w:rsid w:val="001C7CFC"/>
    <w:rsid w:val="001D1310"/>
    <w:rsid w:val="001D1A53"/>
    <w:rsid w:val="001D27C9"/>
    <w:rsid w:val="001D33C1"/>
    <w:rsid w:val="001D4004"/>
    <w:rsid w:val="001D50AC"/>
    <w:rsid w:val="001E00A6"/>
    <w:rsid w:val="001E00AA"/>
    <w:rsid w:val="001E0FBF"/>
    <w:rsid w:val="001E2697"/>
    <w:rsid w:val="001E3000"/>
    <w:rsid w:val="001E3883"/>
    <w:rsid w:val="001E3E08"/>
    <w:rsid w:val="001E50D1"/>
    <w:rsid w:val="001E64AE"/>
    <w:rsid w:val="001E665D"/>
    <w:rsid w:val="001E73C7"/>
    <w:rsid w:val="001E7837"/>
    <w:rsid w:val="001F0776"/>
    <w:rsid w:val="001F1DB4"/>
    <w:rsid w:val="001F34EB"/>
    <w:rsid w:val="001F3FF6"/>
    <w:rsid w:val="001F58A4"/>
    <w:rsid w:val="001F5F01"/>
    <w:rsid w:val="001F7962"/>
    <w:rsid w:val="001F7E9D"/>
    <w:rsid w:val="00200CF6"/>
    <w:rsid w:val="00201131"/>
    <w:rsid w:val="00201E58"/>
    <w:rsid w:val="00202810"/>
    <w:rsid w:val="00202EFA"/>
    <w:rsid w:val="0020373B"/>
    <w:rsid w:val="002037D0"/>
    <w:rsid w:val="0020385E"/>
    <w:rsid w:val="00203B75"/>
    <w:rsid w:val="00204997"/>
    <w:rsid w:val="00205BA5"/>
    <w:rsid w:val="00210397"/>
    <w:rsid w:val="00210AA0"/>
    <w:rsid w:val="00211C14"/>
    <w:rsid w:val="00211CDF"/>
    <w:rsid w:val="0021498C"/>
    <w:rsid w:val="00214F0E"/>
    <w:rsid w:val="0021532F"/>
    <w:rsid w:val="00216776"/>
    <w:rsid w:val="00216E4D"/>
    <w:rsid w:val="002214A6"/>
    <w:rsid w:val="0022419F"/>
    <w:rsid w:val="00226544"/>
    <w:rsid w:val="002277AA"/>
    <w:rsid w:val="002305BE"/>
    <w:rsid w:val="002310DE"/>
    <w:rsid w:val="00231CCD"/>
    <w:rsid w:val="00231FB0"/>
    <w:rsid w:val="00231FE7"/>
    <w:rsid w:val="0023393E"/>
    <w:rsid w:val="0023573F"/>
    <w:rsid w:val="00236F90"/>
    <w:rsid w:val="00237B1C"/>
    <w:rsid w:val="00241061"/>
    <w:rsid w:val="00241768"/>
    <w:rsid w:val="00241B6B"/>
    <w:rsid w:val="00243654"/>
    <w:rsid w:val="00246B27"/>
    <w:rsid w:val="00247A6D"/>
    <w:rsid w:val="00250075"/>
    <w:rsid w:val="0025050F"/>
    <w:rsid w:val="002513D2"/>
    <w:rsid w:val="002522A9"/>
    <w:rsid w:val="00252FB5"/>
    <w:rsid w:val="0025711B"/>
    <w:rsid w:val="00257AB9"/>
    <w:rsid w:val="0026040E"/>
    <w:rsid w:val="0026490B"/>
    <w:rsid w:val="00266DE7"/>
    <w:rsid w:val="00270835"/>
    <w:rsid w:val="00270847"/>
    <w:rsid w:val="00270C65"/>
    <w:rsid w:val="00270CF8"/>
    <w:rsid w:val="00272B3E"/>
    <w:rsid w:val="002733F1"/>
    <w:rsid w:val="00274B16"/>
    <w:rsid w:val="00276EFC"/>
    <w:rsid w:val="00277941"/>
    <w:rsid w:val="00280512"/>
    <w:rsid w:val="00281745"/>
    <w:rsid w:val="002819F5"/>
    <w:rsid w:val="00281AE4"/>
    <w:rsid w:val="002825DE"/>
    <w:rsid w:val="00283C8C"/>
    <w:rsid w:val="00283FB9"/>
    <w:rsid w:val="002853D2"/>
    <w:rsid w:val="0028565A"/>
    <w:rsid w:val="00286E66"/>
    <w:rsid w:val="002901D4"/>
    <w:rsid w:val="0029088C"/>
    <w:rsid w:val="00290A0D"/>
    <w:rsid w:val="00291B67"/>
    <w:rsid w:val="00291B8B"/>
    <w:rsid w:val="00292E97"/>
    <w:rsid w:val="00293E19"/>
    <w:rsid w:val="00294251"/>
    <w:rsid w:val="00295D08"/>
    <w:rsid w:val="002962F1"/>
    <w:rsid w:val="002966C8"/>
    <w:rsid w:val="00296C75"/>
    <w:rsid w:val="00296CEE"/>
    <w:rsid w:val="00297726"/>
    <w:rsid w:val="00297DE7"/>
    <w:rsid w:val="002A0725"/>
    <w:rsid w:val="002A1FBB"/>
    <w:rsid w:val="002A2A50"/>
    <w:rsid w:val="002A41DC"/>
    <w:rsid w:val="002A44DC"/>
    <w:rsid w:val="002A582B"/>
    <w:rsid w:val="002A58B8"/>
    <w:rsid w:val="002A69ED"/>
    <w:rsid w:val="002B123C"/>
    <w:rsid w:val="002B30D8"/>
    <w:rsid w:val="002B6E04"/>
    <w:rsid w:val="002B6E12"/>
    <w:rsid w:val="002C0442"/>
    <w:rsid w:val="002C044E"/>
    <w:rsid w:val="002C1BC4"/>
    <w:rsid w:val="002C4096"/>
    <w:rsid w:val="002C42E7"/>
    <w:rsid w:val="002C6BED"/>
    <w:rsid w:val="002C6F6E"/>
    <w:rsid w:val="002C7329"/>
    <w:rsid w:val="002D1570"/>
    <w:rsid w:val="002D2176"/>
    <w:rsid w:val="002D350A"/>
    <w:rsid w:val="002D389C"/>
    <w:rsid w:val="002D3B24"/>
    <w:rsid w:val="002D441B"/>
    <w:rsid w:val="002D45C8"/>
    <w:rsid w:val="002D4DA8"/>
    <w:rsid w:val="002D67A6"/>
    <w:rsid w:val="002D6FF5"/>
    <w:rsid w:val="002E0F8B"/>
    <w:rsid w:val="002E2310"/>
    <w:rsid w:val="002E29A3"/>
    <w:rsid w:val="002E5A20"/>
    <w:rsid w:val="002F0987"/>
    <w:rsid w:val="002F0FA6"/>
    <w:rsid w:val="002F1518"/>
    <w:rsid w:val="002F266A"/>
    <w:rsid w:val="002F3BCC"/>
    <w:rsid w:val="002F5235"/>
    <w:rsid w:val="002F5838"/>
    <w:rsid w:val="002F63D4"/>
    <w:rsid w:val="002F7AA5"/>
    <w:rsid w:val="002F7EDB"/>
    <w:rsid w:val="00302E9D"/>
    <w:rsid w:val="00303746"/>
    <w:rsid w:val="00304215"/>
    <w:rsid w:val="0030656B"/>
    <w:rsid w:val="0030746F"/>
    <w:rsid w:val="00310735"/>
    <w:rsid w:val="00312543"/>
    <w:rsid w:val="0031610E"/>
    <w:rsid w:val="003178F7"/>
    <w:rsid w:val="0032322C"/>
    <w:rsid w:val="00323715"/>
    <w:rsid w:val="00323819"/>
    <w:rsid w:val="003238CC"/>
    <w:rsid w:val="003245F2"/>
    <w:rsid w:val="0032470E"/>
    <w:rsid w:val="003257C1"/>
    <w:rsid w:val="003300C5"/>
    <w:rsid w:val="00332DDD"/>
    <w:rsid w:val="00332E9B"/>
    <w:rsid w:val="00337DCF"/>
    <w:rsid w:val="00345810"/>
    <w:rsid w:val="00346E6C"/>
    <w:rsid w:val="00347413"/>
    <w:rsid w:val="003510CB"/>
    <w:rsid w:val="003511FC"/>
    <w:rsid w:val="00351461"/>
    <w:rsid w:val="0035193D"/>
    <w:rsid w:val="00351E33"/>
    <w:rsid w:val="00352283"/>
    <w:rsid w:val="0035246E"/>
    <w:rsid w:val="00352B7F"/>
    <w:rsid w:val="00352D95"/>
    <w:rsid w:val="00353290"/>
    <w:rsid w:val="00357A96"/>
    <w:rsid w:val="00362E81"/>
    <w:rsid w:val="00365F40"/>
    <w:rsid w:val="00367A61"/>
    <w:rsid w:val="00372222"/>
    <w:rsid w:val="0037252D"/>
    <w:rsid w:val="003728BF"/>
    <w:rsid w:val="00376751"/>
    <w:rsid w:val="0037696F"/>
    <w:rsid w:val="00376A3A"/>
    <w:rsid w:val="00376B4E"/>
    <w:rsid w:val="00377695"/>
    <w:rsid w:val="0038047C"/>
    <w:rsid w:val="003805A7"/>
    <w:rsid w:val="00381F5F"/>
    <w:rsid w:val="00381FA7"/>
    <w:rsid w:val="003832CA"/>
    <w:rsid w:val="0038371E"/>
    <w:rsid w:val="003858E8"/>
    <w:rsid w:val="00386701"/>
    <w:rsid w:val="0038745F"/>
    <w:rsid w:val="003874B9"/>
    <w:rsid w:val="00390273"/>
    <w:rsid w:val="00390C2E"/>
    <w:rsid w:val="00394E08"/>
    <w:rsid w:val="00394E70"/>
    <w:rsid w:val="00395005"/>
    <w:rsid w:val="0039533E"/>
    <w:rsid w:val="003965F8"/>
    <w:rsid w:val="0039672F"/>
    <w:rsid w:val="00396E4A"/>
    <w:rsid w:val="00397F53"/>
    <w:rsid w:val="003A02A7"/>
    <w:rsid w:val="003A02BA"/>
    <w:rsid w:val="003A21F0"/>
    <w:rsid w:val="003A39ED"/>
    <w:rsid w:val="003A403E"/>
    <w:rsid w:val="003A5639"/>
    <w:rsid w:val="003A5849"/>
    <w:rsid w:val="003A65CA"/>
    <w:rsid w:val="003A72CF"/>
    <w:rsid w:val="003B0BB2"/>
    <w:rsid w:val="003B0CC0"/>
    <w:rsid w:val="003B13D5"/>
    <w:rsid w:val="003B3B70"/>
    <w:rsid w:val="003B49E6"/>
    <w:rsid w:val="003B5E25"/>
    <w:rsid w:val="003C0529"/>
    <w:rsid w:val="003C17C1"/>
    <w:rsid w:val="003C2F94"/>
    <w:rsid w:val="003C3758"/>
    <w:rsid w:val="003C5053"/>
    <w:rsid w:val="003C6A66"/>
    <w:rsid w:val="003D1D1E"/>
    <w:rsid w:val="003D217A"/>
    <w:rsid w:val="003D548E"/>
    <w:rsid w:val="003D582E"/>
    <w:rsid w:val="003D6D0A"/>
    <w:rsid w:val="003D7DCB"/>
    <w:rsid w:val="003E1040"/>
    <w:rsid w:val="003E1823"/>
    <w:rsid w:val="003E20B5"/>
    <w:rsid w:val="003E3313"/>
    <w:rsid w:val="003E3531"/>
    <w:rsid w:val="003E4124"/>
    <w:rsid w:val="003E5763"/>
    <w:rsid w:val="003E5A78"/>
    <w:rsid w:val="003E61B8"/>
    <w:rsid w:val="003E6550"/>
    <w:rsid w:val="003F012B"/>
    <w:rsid w:val="003F0BB6"/>
    <w:rsid w:val="003F114B"/>
    <w:rsid w:val="003F27CD"/>
    <w:rsid w:val="003F2B68"/>
    <w:rsid w:val="003F2E18"/>
    <w:rsid w:val="003F3843"/>
    <w:rsid w:val="003F4F49"/>
    <w:rsid w:val="003F64F7"/>
    <w:rsid w:val="003F66E5"/>
    <w:rsid w:val="003F70E6"/>
    <w:rsid w:val="003F7128"/>
    <w:rsid w:val="004008D3"/>
    <w:rsid w:val="004018E6"/>
    <w:rsid w:val="004031CE"/>
    <w:rsid w:val="00403235"/>
    <w:rsid w:val="004033B0"/>
    <w:rsid w:val="004052FC"/>
    <w:rsid w:val="00406356"/>
    <w:rsid w:val="004072FA"/>
    <w:rsid w:val="00407B5B"/>
    <w:rsid w:val="004104A6"/>
    <w:rsid w:val="00410CF8"/>
    <w:rsid w:val="00410E43"/>
    <w:rsid w:val="00411C22"/>
    <w:rsid w:val="00413564"/>
    <w:rsid w:val="004139AC"/>
    <w:rsid w:val="004142D5"/>
    <w:rsid w:val="00415EFC"/>
    <w:rsid w:val="00416A9E"/>
    <w:rsid w:val="00417DE6"/>
    <w:rsid w:val="00420384"/>
    <w:rsid w:val="00420990"/>
    <w:rsid w:val="00420DC0"/>
    <w:rsid w:val="004234A2"/>
    <w:rsid w:val="0042372D"/>
    <w:rsid w:val="00424D2B"/>
    <w:rsid w:val="00425E2F"/>
    <w:rsid w:val="00426467"/>
    <w:rsid w:val="0042660E"/>
    <w:rsid w:val="0042669B"/>
    <w:rsid w:val="00426D1A"/>
    <w:rsid w:val="00427BEA"/>
    <w:rsid w:val="00427DC5"/>
    <w:rsid w:val="004300CE"/>
    <w:rsid w:val="0043047A"/>
    <w:rsid w:val="00431933"/>
    <w:rsid w:val="00431992"/>
    <w:rsid w:val="004326F0"/>
    <w:rsid w:val="0043404B"/>
    <w:rsid w:val="00434426"/>
    <w:rsid w:val="004345EF"/>
    <w:rsid w:val="004359F8"/>
    <w:rsid w:val="00435D81"/>
    <w:rsid w:val="0043665E"/>
    <w:rsid w:val="0043778F"/>
    <w:rsid w:val="00437885"/>
    <w:rsid w:val="00437AD5"/>
    <w:rsid w:val="00437E12"/>
    <w:rsid w:val="00440BDA"/>
    <w:rsid w:val="004419E7"/>
    <w:rsid w:val="004441F1"/>
    <w:rsid w:val="00444E65"/>
    <w:rsid w:val="00444FAE"/>
    <w:rsid w:val="00445447"/>
    <w:rsid w:val="004466EA"/>
    <w:rsid w:val="00447A6D"/>
    <w:rsid w:val="00447FD5"/>
    <w:rsid w:val="00452A49"/>
    <w:rsid w:val="00453EB8"/>
    <w:rsid w:val="0045513C"/>
    <w:rsid w:val="004563B7"/>
    <w:rsid w:val="004605E3"/>
    <w:rsid w:val="004609B1"/>
    <w:rsid w:val="00460F60"/>
    <w:rsid w:val="004613E9"/>
    <w:rsid w:val="004620E9"/>
    <w:rsid w:val="00464BBC"/>
    <w:rsid w:val="004668C8"/>
    <w:rsid w:val="00466EEA"/>
    <w:rsid w:val="004704C1"/>
    <w:rsid w:val="00470676"/>
    <w:rsid w:val="00470B4C"/>
    <w:rsid w:val="0047132F"/>
    <w:rsid w:val="00471F5F"/>
    <w:rsid w:val="0047490F"/>
    <w:rsid w:val="00475C2C"/>
    <w:rsid w:val="00477C09"/>
    <w:rsid w:val="0048243B"/>
    <w:rsid w:val="00482655"/>
    <w:rsid w:val="00482E85"/>
    <w:rsid w:val="004830AE"/>
    <w:rsid w:val="00483FD0"/>
    <w:rsid w:val="00485148"/>
    <w:rsid w:val="00487DA4"/>
    <w:rsid w:val="00487FF1"/>
    <w:rsid w:val="004903BA"/>
    <w:rsid w:val="0049106D"/>
    <w:rsid w:val="0049192F"/>
    <w:rsid w:val="00491B6C"/>
    <w:rsid w:val="00493484"/>
    <w:rsid w:val="0049499B"/>
    <w:rsid w:val="00495846"/>
    <w:rsid w:val="00496D62"/>
    <w:rsid w:val="0049758D"/>
    <w:rsid w:val="00497898"/>
    <w:rsid w:val="004A01FE"/>
    <w:rsid w:val="004A06AC"/>
    <w:rsid w:val="004A1461"/>
    <w:rsid w:val="004A1E21"/>
    <w:rsid w:val="004A2091"/>
    <w:rsid w:val="004A3179"/>
    <w:rsid w:val="004A362F"/>
    <w:rsid w:val="004A388E"/>
    <w:rsid w:val="004A45B5"/>
    <w:rsid w:val="004A519A"/>
    <w:rsid w:val="004A6010"/>
    <w:rsid w:val="004A6F3E"/>
    <w:rsid w:val="004A7038"/>
    <w:rsid w:val="004A7705"/>
    <w:rsid w:val="004A7F8C"/>
    <w:rsid w:val="004B1355"/>
    <w:rsid w:val="004B14A4"/>
    <w:rsid w:val="004B205C"/>
    <w:rsid w:val="004B2BC2"/>
    <w:rsid w:val="004B2FF8"/>
    <w:rsid w:val="004B3064"/>
    <w:rsid w:val="004B4C3E"/>
    <w:rsid w:val="004B53C2"/>
    <w:rsid w:val="004B748D"/>
    <w:rsid w:val="004B752D"/>
    <w:rsid w:val="004B755B"/>
    <w:rsid w:val="004C09E5"/>
    <w:rsid w:val="004C1184"/>
    <w:rsid w:val="004C128D"/>
    <w:rsid w:val="004C2B73"/>
    <w:rsid w:val="004C3386"/>
    <w:rsid w:val="004C725C"/>
    <w:rsid w:val="004C7487"/>
    <w:rsid w:val="004D1B90"/>
    <w:rsid w:val="004D2D68"/>
    <w:rsid w:val="004D3B68"/>
    <w:rsid w:val="004D4734"/>
    <w:rsid w:val="004D51A1"/>
    <w:rsid w:val="004D5226"/>
    <w:rsid w:val="004D66F2"/>
    <w:rsid w:val="004D6E0F"/>
    <w:rsid w:val="004E03E7"/>
    <w:rsid w:val="004E03ED"/>
    <w:rsid w:val="004E075B"/>
    <w:rsid w:val="004E47E0"/>
    <w:rsid w:val="004E5923"/>
    <w:rsid w:val="004E6F21"/>
    <w:rsid w:val="004E759B"/>
    <w:rsid w:val="004E774A"/>
    <w:rsid w:val="004F070C"/>
    <w:rsid w:val="004F0D04"/>
    <w:rsid w:val="004F129D"/>
    <w:rsid w:val="004F1468"/>
    <w:rsid w:val="004F1C56"/>
    <w:rsid w:val="004F1CA3"/>
    <w:rsid w:val="004F2CB3"/>
    <w:rsid w:val="004F52D7"/>
    <w:rsid w:val="004F61C9"/>
    <w:rsid w:val="0050143F"/>
    <w:rsid w:val="00501996"/>
    <w:rsid w:val="00501A31"/>
    <w:rsid w:val="00501A6C"/>
    <w:rsid w:val="005021FD"/>
    <w:rsid w:val="005023E3"/>
    <w:rsid w:val="0050250B"/>
    <w:rsid w:val="00502DD8"/>
    <w:rsid w:val="00504037"/>
    <w:rsid w:val="00505D7E"/>
    <w:rsid w:val="00506206"/>
    <w:rsid w:val="005065BA"/>
    <w:rsid w:val="00506E7C"/>
    <w:rsid w:val="00507D0F"/>
    <w:rsid w:val="00511D12"/>
    <w:rsid w:val="005157AA"/>
    <w:rsid w:val="005160AA"/>
    <w:rsid w:val="00516B6E"/>
    <w:rsid w:val="00516E93"/>
    <w:rsid w:val="0051779A"/>
    <w:rsid w:val="00517C46"/>
    <w:rsid w:val="00520180"/>
    <w:rsid w:val="0052052A"/>
    <w:rsid w:val="00520A13"/>
    <w:rsid w:val="005210F7"/>
    <w:rsid w:val="0052565F"/>
    <w:rsid w:val="0053050A"/>
    <w:rsid w:val="00531238"/>
    <w:rsid w:val="005330CF"/>
    <w:rsid w:val="005330EF"/>
    <w:rsid w:val="0053394F"/>
    <w:rsid w:val="00533C3C"/>
    <w:rsid w:val="005353DA"/>
    <w:rsid w:val="00535902"/>
    <w:rsid w:val="0053611F"/>
    <w:rsid w:val="005370BF"/>
    <w:rsid w:val="00537D94"/>
    <w:rsid w:val="00540F67"/>
    <w:rsid w:val="00541932"/>
    <w:rsid w:val="00542B29"/>
    <w:rsid w:val="005439B6"/>
    <w:rsid w:val="00544883"/>
    <w:rsid w:val="005468E5"/>
    <w:rsid w:val="0055135E"/>
    <w:rsid w:val="00551F21"/>
    <w:rsid w:val="00557343"/>
    <w:rsid w:val="00557944"/>
    <w:rsid w:val="00560746"/>
    <w:rsid w:val="00560869"/>
    <w:rsid w:val="00560AFC"/>
    <w:rsid w:val="00561CA2"/>
    <w:rsid w:val="005623A5"/>
    <w:rsid w:val="00564454"/>
    <w:rsid w:val="00564E9B"/>
    <w:rsid w:val="0056596F"/>
    <w:rsid w:val="00565FCB"/>
    <w:rsid w:val="005679E2"/>
    <w:rsid w:val="00571A4A"/>
    <w:rsid w:val="0057319D"/>
    <w:rsid w:val="00575674"/>
    <w:rsid w:val="00575BCF"/>
    <w:rsid w:val="00576228"/>
    <w:rsid w:val="00577578"/>
    <w:rsid w:val="00580E52"/>
    <w:rsid w:val="005818CC"/>
    <w:rsid w:val="00582EBE"/>
    <w:rsid w:val="00583581"/>
    <w:rsid w:val="005842BD"/>
    <w:rsid w:val="00585B28"/>
    <w:rsid w:val="00586813"/>
    <w:rsid w:val="0058705E"/>
    <w:rsid w:val="0058764D"/>
    <w:rsid w:val="005878C4"/>
    <w:rsid w:val="005900C3"/>
    <w:rsid w:val="00593961"/>
    <w:rsid w:val="005944AC"/>
    <w:rsid w:val="005956EC"/>
    <w:rsid w:val="00595D01"/>
    <w:rsid w:val="00596BD5"/>
    <w:rsid w:val="005973CD"/>
    <w:rsid w:val="005A13D7"/>
    <w:rsid w:val="005A1C85"/>
    <w:rsid w:val="005A2302"/>
    <w:rsid w:val="005A23F0"/>
    <w:rsid w:val="005A26B9"/>
    <w:rsid w:val="005A322E"/>
    <w:rsid w:val="005A347B"/>
    <w:rsid w:val="005A6340"/>
    <w:rsid w:val="005A6874"/>
    <w:rsid w:val="005A6FDB"/>
    <w:rsid w:val="005A7268"/>
    <w:rsid w:val="005B011A"/>
    <w:rsid w:val="005B1481"/>
    <w:rsid w:val="005B2B52"/>
    <w:rsid w:val="005B3E28"/>
    <w:rsid w:val="005B48A8"/>
    <w:rsid w:val="005B4902"/>
    <w:rsid w:val="005B5396"/>
    <w:rsid w:val="005B5458"/>
    <w:rsid w:val="005B5636"/>
    <w:rsid w:val="005B5992"/>
    <w:rsid w:val="005B5D75"/>
    <w:rsid w:val="005B6ED1"/>
    <w:rsid w:val="005C14DE"/>
    <w:rsid w:val="005C2EB8"/>
    <w:rsid w:val="005C35E2"/>
    <w:rsid w:val="005C3761"/>
    <w:rsid w:val="005C44DE"/>
    <w:rsid w:val="005C4525"/>
    <w:rsid w:val="005C5673"/>
    <w:rsid w:val="005C6F66"/>
    <w:rsid w:val="005C7DE0"/>
    <w:rsid w:val="005D03DB"/>
    <w:rsid w:val="005D0CA9"/>
    <w:rsid w:val="005D17DF"/>
    <w:rsid w:val="005D2E5C"/>
    <w:rsid w:val="005D3D98"/>
    <w:rsid w:val="005D4574"/>
    <w:rsid w:val="005D4B93"/>
    <w:rsid w:val="005E1B12"/>
    <w:rsid w:val="005E2A5F"/>
    <w:rsid w:val="005E5292"/>
    <w:rsid w:val="005E5804"/>
    <w:rsid w:val="005E5FAA"/>
    <w:rsid w:val="005E6869"/>
    <w:rsid w:val="005E7344"/>
    <w:rsid w:val="005E76C6"/>
    <w:rsid w:val="005E778D"/>
    <w:rsid w:val="005E7AE0"/>
    <w:rsid w:val="005E7B2C"/>
    <w:rsid w:val="005E7BEB"/>
    <w:rsid w:val="005E7C76"/>
    <w:rsid w:val="005F1287"/>
    <w:rsid w:val="005F3B81"/>
    <w:rsid w:val="005F4C52"/>
    <w:rsid w:val="005F5D3E"/>
    <w:rsid w:val="005F78DA"/>
    <w:rsid w:val="00601ED7"/>
    <w:rsid w:val="00601F12"/>
    <w:rsid w:val="00602113"/>
    <w:rsid w:val="00602523"/>
    <w:rsid w:val="0060463B"/>
    <w:rsid w:val="0060479A"/>
    <w:rsid w:val="006047A0"/>
    <w:rsid w:val="00604EE4"/>
    <w:rsid w:val="00605C4A"/>
    <w:rsid w:val="00607117"/>
    <w:rsid w:val="00607118"/>
    <w:rsid w:val="00610008"/>
    <w:rsid w:val="0061113F"/>
    <w:rsid w:val="00611FD8"/>
    <w:rsid w:val="0061272B"/>
    <w:rsid w:val="006137E4"/>
    <w:rsid w:val="00614B7E"/>
    <w:rsid w:val="00615770"/>
    <w:rsid w:val="00615FC5"/>
    <w:rsid w:val="00616051"/>
    <w:rsid w:val="006210F5"/>
    <w:rsid w:val="00622455"/>
    <w:rsid w:val="0062407E"/>
    <w:rsid w:val="006263B0"/>
    <w:rsid w:val="006277C5"/>
    <w:rsid w:val="00630228"/>
    <w:rsid w:val="00630AA7"/>
    <w:rsid w:val="00630F8F"/>
    <w:rsid w:val="006325F3"/>
    <w:rsid w:val="00632F60"/>
    <w:rsid w:val="00633CE7"/>
    <w:rsid w:val="006343BC"/>
    <w:rsid w:val="00634D14"/>
    <w:rsid w:val="0063545E"/>
    <w:rsid w:val="006358A7"/>
    <w:rsid w:val="00636260"/>
    <w:rsid w:val="00637E26"/>
    <w:rsid w:val="00640ADB"/>
    <w:rsid w:val="00640C77"/>
    <w:rsid w:val="00640ECA"/>
    <w:rsid w:val="00641F6E"/>
    <w:rsid w:val="006439C3"/>
    <w:rsid w:val="006446AD"/>
    <w:rsid w:val="00646FAE"/>
    <w:rsid w:val="0064707B"/>
    <w:rsid w:val="006472D1"/>
    <w:rsid w:val="006507F9"/>
    <w:rsid w:val="00650E5B"/>
    <w:rsid w:val="006516E8"/>
    <w:rsid w:val="00652A6B"/>
    <w:rsid w:val="00652E4B"/>
    <w:rsid w:val="00653286"/>
    <w:rsid w:val="00653DDB"/>
    <w:rsid w:val="006545E3"/>
    <w:rsid w:val="006547EE"/>
    <w:rsid w:val="00657CEC"/>
    <w:rsid w:val="006603FF"/>
    <w:rsid w:val="0066196F"/>
    <w:rsid w:val="006619F0"/>
    <w:rsid w:val="00661FD0"/>
    <w:rsid w:val="0066564F"/>
    <w:rsid w:val="00666330"/>
    <w:rsid w:val="00667724"/>
    <w:rsid w:val="006712D6"/>
    <w:rsid w:val="00672140"/>
    <w:rsid w:val="00672559"/>
    <w:rsid w:val="006733F4"/>
    <w:rsid w:val="00674CB8"/>
    <w:rsid w:val="006771DF"/>
    <w:rsid w:val="00677BC3"/>
    <w:rsid w:val="00683184"/>
    <w:rsid w:val="00683CCA"/>
    <w:rsid w:val="006840C2"/>
    <w:rsid w:val="00684163"/>
    <w:rsid w:val="00685063"/>
    <w:rsid w:val="00685D46"/>
    <w:rsid w:val="00686051"/>
    <w:rsid w:val="00686735"/>
    <w:rsid w:val="00687275"/>
    <w:rsid w:val="006921FF"/>
    <w:rsid w:val="00695FDE"/>
    <w:rsid w:val="00697EC8"/>
    <w:rsid w:val="006A0C9A"/>
    <w:rsid w:val="006A1AA8"/>
    <w:rsid w:val="006A35BD"/>
    <w:rsid w:val="006A3B08"/>
    <w:rsid w:val="006A4DF6"/>
    <w:rsid w:val="006A59C7"/>
    <w:rsid w:val="006A681E"/>
    <w:rsid w:val="006A691E"/>
    <w:rsid w:val="006A6FB1"/>
    <w:rsid w:val="006B1F0C"/>
    <w:rsid w:val="006B212E"/>
    <w:rsid w:val="006B43C5"/>
    <w:rsid w:val="006B43D7"/>
    <w:rsid w:val="006B5810"/>
    <w:rsid w:val="006B5F49"/>
    <w:rsid w:val="006B7235"/>
    <w:rsid w:val="006B755F"/>
    <w:rsid w:val="006C129E"/>
    <w:rsid w:val="006C16C9"/>
    <w:rsid w:val="006C2813"/>
    <w:rsid w:val="006C3573"/>
    <w:rsid w:val="006C43CF"/>
    <w:rsid w:val="006C6071"/>
    <w:rsid w:val="006C7D04"/>
    <w:rsid w:val="006D0DC6"/>
    <w:rsid w:val="006D11BD"/>
    <w:rsid w:val="006D1FC3"/>
    <w:rsid w:val="006D25BC"/>
    <w:rsid w:val="006D25CE"/>
    <w:rsid w:val="006D587B"/>
    <w:rsid w:val="006D59C8"/>
    <w:rsid w:val="006E0A57"/>
    <w:rsid w:val="006E1553"/>
    <w:rsid w:val="006E2A1E"/>
    <w:rsid w:val="006E5141"/>
    <w:rsid w:val="006E5309"/>
    <w:rsid w:val="006E5BC0"/>
    <w:rsid w:val="006E5FC7"/>
    <w:rsid w:val="006E7398"/>
    <w:rsid w:val="006F0E73"/>
    <w:rsid w:val="006F15A4"/>
    <w:rsid w:val="006F3D87"/>
    <w:rsid w:val="006F67EF"/>
    <w:rsid w:val="006F69FB"/>
    <w:rsid w:val="00700AC4"/>
    <w:rsid w:val="00703107"/>
    <w:rsid w:val="00703773"/>
    <w:rsid w:val="0070383F"/>
    <w:rsid w:val="0070567E"/>
    <w:rsid w:val="0070657E"/>
    <w:rsid w:val="007066AC"/>
    <w:rsid w:val="00707F7A"/>
    <w:rsid w:val="00707F96"/>
    <w:rsid w:val="007100DA"/>
    <w:rsid w:val="00710DB7"/>
    <w:rsid w:val="007113B6"/>
    <w:rsid w:val="00712F3A"/>
    <w:rsid w:val="007136BF"/>
    <w:rsid w:val="00713B0D"/>
    <w:rsid w:val="00714312"/>
    <w:rsid w:val="00714417"/>
    <w:rsid w:val="00715BC3"/>
    <w:rsid w:val="007214DD"/>
    <w:rsid w:val="007218BD"/>
    <w:rsid w:val="00721EBB"/>
    <w:rsid w:val="00722C0E"/>
    <w:rsid w:val="0072623D"/>
    <w:rsid w:val="00731241"/>
    <w:rsid w:val="007312C0"/>
    <w:rsid w:val="00732255"/>
    <w:rsid w:val="00733664"/>
    <w:rsid w:val="00733B1B"/>
    <w:rsid w:val="00733F09"/>
    <w:rsid w:val="007340B3"/>
    <w:rsid w:val="00734212"/>
    <w:rsid w:val="00734873"/>
    <w:rsid w:val="00735316"/>
    <w:rsid w:val="007359ED"/>
    <w:rsid w:val="0073603D"/>
    <w:rsid w:val="007366FC"/>
    <w:rsid w:val="007370CB"/>
    <w:rsid w:val="007372BF"/>
    <w:rsid w:val="00740D18"/>
    <w:rsid w:val="00740E60"/>
    <w:rsid w:val="007422B3"/>
    <w:rsid w:val="00742CA9"/>
    <w:rsid w:val="007444E1"/>
    <w:rsid w:val="007453CC"/>
    <w:rsid w:val="007457BC"/>
    <w:rsid w:val="00745BAF"/>
    <w:rsid w:val="00747888"/>
    <w:rsid w:val="00747DB5"/>
    <w:rsid w:val="007505EC"/>
    <w:rsid w:val="00750C83"/>
    <w:rsid w:val="00751AC7"/>
    <w:rsid w:val="007541C0"/>
    <w:rsid w:val="00754265"/>
    <w:rsid w:val="007558DD"/>
    <w:rsid w:val="007561D6"/>
    <w:rsid w:val="00757224"/>
    <w:rsid w:val="00760171"/>
    <w:rsid w:val="007609A4"/>
    <w:rsid w:val="00760D88"/>
    <w:rsid w:val="00760EFA"/>
    <w:rsid w:val="007611B2"/>
    <w:rsid w:val="007618E8"/>
    <w:rsid w:val="007626A8"/>
    <w:rsid w:val="0076332C"/>
    <w:rsid w:val="00763772"/>
    <w:rsid w:val="00764108"/>
    <w:rsid w:val="0076481A"/>
    <w:rsid w:val="0076602F"/>
    <w:rsid w:val="007665AA"/>
    <w:rsid w:val="007677AF"/>
    <w:rsid w:val="0077078B"/>
    <w:rsid w:val="00774A62"/>
    <w:rsid w:val="0077549F"/>
    <w:rsid w:val="00775779"/>
    <w:rsid w:val="007765AD"/>
    <w:rsid w:val="00780CFC"/>
    <w:rsid w:val="00782770"/>
    <w:rsid w:val="007827BB"/>
    <w:rsid w:val="00783A4D"/>
    <w:rsid w:val="00786EFC"/>
    <w:rsid w:val="0079159D"/>
    <w:rsid w:val="007942A6"/>
    <w:rsid w:val="007955B6"/>
    <w:rsid w:val="00795A14"/>
    <w:rsid w:val="007962AD"/>
    <w:rsid w:val="0079683A"/>
    <w:rsid w:val="007A00DF"/>
    <w:rsid w:val="007A0B5B"/>
    <w:rsid w:val="007A1106"/>
    <w:rsid w:val="007A2399"/>
    <w:rsid w:val="007A2AAF"/>
    <w:rsid w:val="007A2CD4"/>
    <w:rsid w:val="007A63B0"/>
    <w:rsid w:val="007A6C5A"/>
    <w:rsid w:val="007A748D"/>
    <w:rsid w:val="007B00D9"/>
    <w:rsid w:val="007B0F2C"/>
    <w:rsid w:val="007B15C3"/>
    <w:rsid w:val="007B20DF"/>
    <w:rsid w:val="007B2919"/>
    <w:rsid w:val="007B2CE1"/>
    <w:rsid w:val="007B44C1"/>
    <w:rsid w:val="007B5C02"/>
    <w:rsid w:val="007B65F5"/>
    <w:rsid w:val="007B797C"/>
    <w:rsid w:val="007B7A2B"/>
    <w:rsid w:val="007C0173"/>
    <w:rsid w:val="007C0588"/>
    <w:rsid w:val="007C068B"/>
    <w:rsid w:val="007C19D7"/>
    <w:rsid w:val="007C1F90"/>
    <w:rsid w:val="007C3AA8"/>
    <w:rsid w:val="007C4C67"/>
    <w:rsid w:val="007C5597"/>
    <w:rsid w:val="007C59B0"/>
    <w:rsid w:val="007C7721"/>
    <w:rsid w:val="007D0042"/>
    <w:rsid w:val="007D03B5"/>
    <w:rsid w:val="007D2247"/>
    <w:rsid w:val="007D39DC"/>
    <w:rsid w:val="007D4133"/>
    <w:rsid w:val="007D41FF"/>
    <w:rsid w:val="007D4B6E"/>
    <w:rsid w:val="007D4E38"/>
    <w:rsid w:val="007E16E8"/>
    <w:rsid w:val="007E1CE8"/>
    <w:rsid w:val="007E252E"/>
    <w:rsid w:val="007E2707"/>
    <w:rsid w:val="007E4F8B"/>
    <w:rsid w:val="007E7E24"/>
    <w:rsid w:val="007F13E4"/>
    <w:rsid w:val="007F1724"/>
    <w:rsid w:val="007F3771"/>
    <w:rsid w:val="007F4969"/>
    <w:rsid w:val="007F4C55"/>
    <w:rsid w:val="007F703A"/>
    <w:rsid w:val="0080047F"/>
    <w:rsid w:val="00800B2B"/>
    <w:rsid w:val="008010B5"/>
    <w:rsid w:val="008011B4"/>
    <w:rsid w:val="00802489"/>
    <w:rsid w:val="00805A1D"/>
    <w:rsid w:val="00806BE7"/>
    <w:rsid w:val="00807463"/>
    <w:rsid w:val="00807A98"/>
    <w:rsid w:val="0081034D"/>
    <w:rsid w:val="00812409"/>
    <w:rsid w:val="00812C48"/>
    <w:rsid w:val="00814D5F"/>
    <w:rsid w:val="008154CF"/>
    <w:rsid w:val="008156A9"/>
    <w:rsid w:val="0081755E"/>
    <w:rsid w:val="00817E2A"/>
    <w:rsid w:val="008205C1"/>
    <w:rsid w:val="00820731"/>
    <w:rsid w:val="0082510F"/>
    <w:rsid w:val="00827A71"/>
    <w:rsid w:val="00827DF1"/>
    <w:rsid w:val="008302F2"/>
    <w:rsid w:val="00830ED4"/>
    <w:rsid w:val="008311BB"/>
    <w:rsid w:val="008311CE"/>
    <w:rsid w:val="00831346"/>
    <w:rsid w:val="0083274C"/>
    <w:rsid w:val="00833DAD"/>
    <w:rsid w:val="00834240"/>
    <w:rsid w:val="00834A77"/>
    <w:rsid w:val="00835919"/>
    <w:rsid w:val="00837CF6"/>
    <w:rsid w:val="00841724"/>
    <w:rsid w:val="00843CCE"/>
    <w:rsid w:val="00843D5B"/>
    <w:rsid w:val="008462B8"/>
    <w:rsid w:val="0085159F"/>
    <w:rsid w:val="0085222C"/>
    <w:rsid w:val="00853A69"/>
    <w:rsid w:val="00853CE7"/>
    <w:rsid w:val="00853DD2"/>
    <w:rsid w:val="008545B3"/>
    <w:rsid w:val="008618D6"/>
    <w:rsid w:val="00861F44"/>
    <w:rsid w:val="00862DB1"/>
    <w:rsid w:val="00862EA2"/>
    <w:rsid w:val="00862FDB"/>
    <w:rsid w:val="00862FFD"/>
    <w:rsid w:val="00864657"/>
    <w:rsid w:val="00864A2C"/>
    <w:rsid w:val="00864A6C"/>
    <w:rsid w:val="008650FF"/>
    <w:rsid w:val="008653CD"/>
    <w:rsid w:val="00865AA6"/>
    <w:rsid w:val="00870BD9"/>
    <w:rsid w:val="008712F2"/>
    <w:rsid w:val="008718FE"/>
    <w:rsid w:val="00872191"/>
    <w:rsid w:val="00873527"/>
    <w:rsid w:val="00873F87"/>
    <w:rsid w:val="008750A5"/>
    <w:rsid w:val="0087544F"/>
    <w:rsid w:val="008768C2"/>
    <w:rsid w:val="00876FEE"/>
    <w:rsid w:val="00877D6C"/>
    <w:rsid w:val="008828E9"/>
    <w:rsid w:val="00883949"/>
    <w:rsid w:val="00883CD0"/>
    <w:rsid w:val="00884879"/>
    <w:rsid w:val="0088622E"/>
    <w:rsid w:val="00890C80"/>
    <w:rsid w:val="0089166B"/>
    <w:rsid w:val="00893168"/>
    <w:rsid w:val="00893E93"/>
    <w:rsid w:val="00894DCB"/>
    <w:rsid w:val="008959D3"/>
    <w:rsid w:val="0089630F"/>
    <w:rsid w:val="0089645B"/>
    <w:rsid w:val="008964C3"/>
    <w:rsid w:val="008A3257"/>
    <w:rsid w:val="008A3D07"/>
    <w:rsid w:val="008A7740"/>
    <w:rsid w:val="008A7B00"/>
    <w:rsid w:val="008A7E09"/>
    <w:rsid w:val="008A7E63"/>
    <w:rsid w:val="008B0742"/>
    <w:rsid w:val="008B0924"/>
    <w:rsid w:val="008B0F6E"/>
    <w:rsid w:val="008B1382"/>
    <w:rsid w:val="008B393C"/>
    <w:rsid w:val="008B3D3E"/>
    <w:rsid w:val="008B4065"/>
    <w:rsid w:val="008B44C1"/>
    <w:rsid w:val="008B51C5"/>
    <w:rsid w:val="008B625C"/>
    <w:rsid w:val="008B6EE9"/>
    <w:rsid w:val="008B744F"/>
    <w:rsid w:val="008B7671"/>
    <w:rsid w:val="008C06BE"/>
    <w:rsid w:val="008C0BAA"/>
    <w:rsid w:val="008C1C48"/>
    <w:rsid w:val="008C27EF"/>
    <w:rsid w:val="008C41C6"/>
    <w:rsid w:val="008C4997"/>
    <w:rsid w:val="008D04BE"/>
    <w:rsid w:val="008D0A6A"/>
    <w:rsid w:val="008D1761"/>
    <w:rsid w:val="008D1851"/>
    <w:rsid w:val="008D1F07"/>
    <w:rsid w:val="008D2BF7"/>
    <w:rsid w:val="008D3240"/>
    <w:rsid w:val="008D3924"/>
    <w:rsid w:val="008D3FE4"/>
    <w:rsid w:val="008D4EE8"/>
    <w:rsid w:val="008D6685"/>
    <w:rsid w:val="008E2B5F"/>
    <w:rsid w:val="008E41FB"/>
    <w:rsid w:val="008E4C06"/>
    <w:rsid w:val="008E6094"/>
    <w:rsid w:val="008E63B0"/>
    <w:rsid w:val="008F12DE"/>
    <w:rsid w:val="008F26AB"/>
    <w:rsid w:val="008F274E"/>
    <w:rsid w:val="008F2AA8"/>
    <w:rsid w:val="00901A43"/>
    <w:rsid w:val="0090211F"/>
    <w:rsid w:val="00902483"/>
    <w:rsid w:val="00902D4F"/>
    <w:rsid w:val="00903385"/>
    <w:rsid w:val="00905A01"/>
    <w:rsid w:val="00905ACC"/>
    <w:rsid w:val="00910585"/>
    <w:rsid w:val="009111DE"/>
    <w:rsid w:val="00911C6A"/>
    <w:rsid w:val="00912AB9"/>
    <w:rsid w:val="00913CB0"/>
    <w:rsid w:val="00914A46"/>
    <w:rsid w:val="009167FD"/>
    <w:rsid w:val="00917B14"/>
    <w:rsid w:val="00920BF0"/>
    <w:rsid w:val="00923767"/>
    <w:rsid w:val="009239B1"/>
    <w:rsid w:val="00924050"/>
    <w:rsid w:val="009240E8"/>
    <w:rsid w:val="00925623"/>
    <w:rsid w:val="00925927"/>
    <w:rsid w:val="00926099"/>
    <w:rsid w:val="00927875"/>
    <w:rsid w:val="00930989"/>
    <w:rsid w:val="00930D8B"/>
    <w:rsid w:val="00934014"/>
    <w:rsid w:val="00934664"/>
    <w:rsid w:val="00934BFF"/>
    <w:rsid w:val="00934E90"/>
    <w:rsid w:val="009357A8"/>
    <w:rsid w:val="00937635"/>
    <w:rsid w:val="00937ABB"/>
    <w:rsid w:val="00937D34"/>
    <w:rsid w:val="00941DC5"/>
    <w:rsid w:val="009427D9"/>
    <w:rsid w:val="00943903"/>
    <w:rsid w:val="0094686E"/>
    <w:rsid w:val="009469F7"/>
    <w:rsid w:val="009472D3"/>
    <w:rsid w:val="00947C1E"/>
    <w:rsid w:val="009503DA"/>
    <w:rsid w:val="009506A5"/>
    <w:rsid w:val="00950DEB"/>
    <w:rsid w:val="0095100A"/>
    <w:rsid w:val="00951305"/>
    <w:rsid w:val="009514C0"/>
    <w:rsid w:val="0095162C"/>
    <w:rsid w:val="0095382D"/>
    <w:rsid w:val="009547BC"/>
    <w:rsid w:val="00956EC3"/>
    <w:rsid w:val="0096140B"/>
    <w:rsid w:val="009624C0"/>
    <w:rsid w:val="00964273"/>
    <w:rsid w:val="009644B9"/>
    <w:rsid w:val="00967540"/>
    <w:rsid w:val="009675F3"/>
    <w:rsid w:val="009676EF"/>
    <w:rsid w:val="00967F25"/>
    <w:rsid w:val="0097060B"/>
    <w:rsid w:val="00971E2F"/>
    <w:rsid w:val="00972999"/>
    <w:rsid w:val="0097580F"/>
    <w:rsid w:val="00977099"/>
    <w:rsid w:val="00980727"/>
    <w:rsid w:val="00981542"/>
    <w:rsid w:val="00982AC9"/>
    <w:rsid w:val="0098304F"/>
    <w:rsid w:val="0098653D"/>
    <w:rsid w:val="00986BA3"/>
    <w:rsid w:val="00987304"/>
    <w:rsid w:val="00990287"/>
    <w:rsid w:val="009906BA"/>
    <w:rsid w:val="00990F2E"/>
    <w:rsid w:val="00991472"/>
    <w:rsid w:val="009950CD"/>
    <w:rsid w:val="009962D7"/>
    <w:rsid w:val="009967BB"/>
    <w:rsid w:val="009A1281"/>
    <w:rsid w:val="009A128D"/>
    <w:rsid w:val="009A1AE7"/>
    <w:rsid w:val="009A3FEF"/>
    <w:rsid w:val="009A5E2C"/>
    <w:rsid w:val="009B0132"/>
    <w:rsid w:val="009B0940"/>
    <w:rsid w:val="009B0EE9"/>
    <w:rsid w:val="009B130B"/>
    <w:rsid w:val="009B16F7"/>
    <w:rsid w:val="009B2EB8"/>
    <w:rsid w:val="009B4A3E"/>
    <w:rsid w:val="009B51BB"/>
    <w:rsid w:val="009B56B9"/>
    <w:rsid w:val="009B5771"/>
    <w:rsid w:val="009C16E9"/>
    <w:rsid w:val="009C2338"/>
    <w:rsid w:val="009C2591"/>
    <w:rsid w:val="009C2A1A"/>
    <w:rsid w:val="009C3881"/>
    <w:rsid w:val="009C3A53"/>
    <w:rsid w:val="009C41A9"/>
    <w:rsid w:val="009C769D"/>
    <w:rsid w:val="009C7728"/>
    <w:rsid w:val="009D00CC"/>
    <w:rsid w:val="009D05DA"/>
    <w:rsid w:val="009D199A"/>
    <w:rsid w:val="009D2189"/>
    <w:rsid w:val="009D3473"/>
    <w:rsid w:val="009D565A"/>
    <w:rsid w:val="009D5D1F"/>
    <w:rsid w:val="009D633D"/>
    <w:rsid w:val="009D6487"/>
    <w:rsid w:val="009D68BC"/>
    <w:rsid w:val="009D732E"/>
    <w:rsid w:val="009D7796"/>
    <w:rsid w:val="009D7DC6"/>
    <w:rsid w:val="009D7FB1"/>
    <w:rsid w:val="009E195D"/>
    <w:rsid w:val="009E1B27"/>
    <w:rsid w:val="009E1D5A"/>
    <w:rsid w:val="009E2F68"/>
    <w:rsid w:val="009E3032"/>
    <w:rsid w:val="009E5567"/>
    <w:rsid w:val="009E6428"/>
    <w:rsid w:val="009E7111"/>
    <w:rsid w:val="009E7AC5"/>
    <w:rsid w:val="009F004D"/>
    <w:rsid w:val="009F0FF0"/>
    <w:rsid w:val="009F1D8F"/>
    <w:rsid w:val="009F1EA6"/>
    <w:rsid w:val="009F24D7"/>
    <w:rsid w:val="009F2C4C"/>
    <w:rsid w:val="009F364D"/>
    <w:rsid w:val="009F7478"/>
    <w:rsid w:val="009F7D7E"/>
    <w:rsid w:val="00A00A36"/>
    <w:rsid w:val="00A0251E"/>
    <w:rsid w:val="00A02EA8"/>
    <w:rsid w:val="00A0424C"/>
    <w:rsid w:val="00A1178D"/>
    <w:rsid w:val="00A138B6"/>
    <w:rsid w:val="00A14B0F"/>
    <w:rsid w:val="00A15076"/>
    <w:rsid w:val="00A1564D"/>
    <w:rsid w:val="00A159D8"/>
    <w:rsid w:val="00A216C1"/>
    <w:rsid w:val="00A216CE"/>
    <w:rsid w:val="00A229F7"/>
    <w:rsid w:val="00A24046"/>
    <w:rsid w:val="00A27308"/>
    <w:rsid w:val="00A27609"/>
    <w:rsid w:val="00A30619"/>
    <w:rsid w:val="00A30D4E"/>
    <w:rsid w:val="00A31340"/>
    <w:rsid w:val="00A31A1C"/>
    <w:rsid w:val="00A324F0"/>
    <w:rsid w:val="00A32966"/>
    <w:rsid w:val="00A32F45"/>
    <w:rsid w:val="00A356C2"/>
    <w:rsid w:val="00A36234"/>
    <w:rsid w:val="00A377DA"/>
    <w:rsid w:val="00A50379"/>
    <w:rsid w:val="00A52046"/>
    <w:rsid w:val="00A5227F"/>
    <w:rsid w:val="00A5668F"/>
    <w:rsid w:val="00A57013"/>
    <w:rsid w:val="00A578FD"/>
    <w:rsid w:val="00A6006A"/>
    <w:rsid w:val="00A6151E"/>
    <w:rsid w:val="00A618AF"/>
    <w:rsid w:val="00A62060"/>
    <w:rsid w:val="00A64CC6"/>
    <w:rsid w:val="00A65D8D"/>
    <w:rsid w:val="00A672EE"/>
    <w:rsid w:val="00A67318"/>
    <w:rsid w:val="00A70A56"/>
    <w:rsid w:val="00A7328C"/>
    <w:rsid w:val="00A74AF0"/>
    <w:rsid w:val="00A75AB3"/>
    <w:rsid w:val="00A76915"/>
    <w:rsid w:val="00A77218"/>
    <w:rsid w:val="00A7722E"/>
    <w:rsid w:val="00A77349"/>
    <w:rsid w:val="00A8171C"/>
    <w:rsid w:val="00A81D67"/>
    <w:rsid w:val="00A81DF1"/>
    <w:rsid w:val="00A827C3"/>
    <w:rsid w:val="00A85780"/>
    <w:rsid w:val="00A866D1"/>
    <w:rsid w:val="00A86D6E"/>
    <w:rsid w:val="00A87E0D"/>
    <w:rsid w:val="00A91F35"/>
    <w:rsid w:val="00A92E0A"/>
    <w:rsid w:val="00A93A36"/>
    <w:rsid w:val="00A96FEE"/>
    <w:rsid w:val="00A97B69"/>
    <w:rsid w:val="00AA13A6"/>
    <w:rsid w:val="00AA16E5"/>
    <w:rsid w:val="00AA31C2"/>
    <w:rsid w:val="00AA4ECF"/>
    <w:rsid w:val="00AA503C"/>
    <w:rsid w:val="00AA50D9"/>
    <w:rsid w:val="00AA5E17"/>
    <w:rsid w:val="00AA6114"/>
    <w:rsid w:val="00AB0926"/>
    <w:rsid w:val="00AB1FA8"/>
    <w:rsid w:val="00AB24C5"/>
    <w:rsid w:val="00AB2E88"/>
    <w:rsid w:val="00AB3227"/>
    <w:rsid w:val="00AB6419"/>
    <w:rsid w:val="00AB784A"/>
    <w:rsid w:val="00AC0CE3"/>
    <w:rsid w:val="00AC1136"/>
    <w:rsid w:val="00AC211C"/>
    <w:rsid w:val="00AC3147"/>
    <w:rsid w:val="00AC4B52"/>
    <w:rsid w:val="00AC5024"/>
    <w:rsid w:val="00AC775D"/>
    <w:rsid w:val="00AD1DAC"/>
    <w:rsid w:val="00AD4CE7"/>
    <w:rsid w:val="00AD564D"/>
    <w:rsid w:val="00AD59DC"/>
    <w:rsid w:val="00AD627F"/>
    <w:rsid w:val="00AD743F"/>
    <w:rsid w:val="00AE0704"/>
    <w:rsid w:val="00AE102A"/>
    <w:rsid w:val="00AE1D19"/>
    <w:rsid w:val="00AE2060"/>
    <w:rsid w:val="00AE315F"/>
    <w:rsid w:val="00AE5A1C"/>
    <w:rsid w:val="00AE5FEB"/>
    <w:rsid w:val="00AE69D2"/>
    <w:rsid w:val="00AE6F24"/>
    <w:rsid w:val="00AF154C"/>
    <w:rsid w:val="00AF227C"/>
    <w:rsid w:val="00AF3A2B"/>
    <w:rsid w:val="00AF598F"/>
    <w:rsid w:val="00AF6875"/>
    <w:rsid w:val="00AF7918"/>
    <w:rsid w:val="00B01231"/>
    <w:rsid w:val="00B01C48"/>
    <w:rsid w:val="00B02F8F"/>
    <w:rsid w:val="00B046FA"/>
    <w:rsid w:val="00B05619"/>
    <w:rsid w:val="00B06405"/>
    <w:rsid w:val="00B072E4"/>
    <w:rsid w:val="00B117C5"/>
    <w:rsid w:val="00B12251"/>
    <w:rsid w:val="00B1255E"/>
    <w:rsid w:val="00B13F8B"/>
    <w:rsid w:val="00B15946"/>
    <w:rsid w:val="00B161EC"/>
    <w:rsid w:val="00B16EBB"/>
    <w:rsid w:val="00B1707E"/>
    <w:rsid w:val="00B178ED"/>
    <w:rsid w:val="00B20F91"/>
    <w:rsid w:val="00B216B1"/>
    <w:rsid w:val="00B233F6"/>
    <w:rsid w:val="00B2452A"/>
    <w:rsid w:val="00B252FE"/>
    <w:rsid w:val="00B268FC"/>
    <w:rsid w:val="00B2705D"/>
    <w:rsid w:val="00B27A66"/>
    <w:rsid w:val="00B313E8"/>
    <w:rsid w:val="00B33565"/>
    <w:rsid w:val="00B33CA4"/>
    <w:rsid w:val="00B34C10"/>
    <w:rsid w:val="00B36B5D"/>
    <w:rsid w:val="00B375B5"/>
    <w:rsid w:val="00B37AD5"/>
    <w:rsid w:val="00B40280"/>
    <w:rsid w:val="00B40898"/>
    <w:rsid w:val="00B4089B"/>
    <w:rsid w:val="00B410F4"/>
    <w:rsid w:val="00B412C7"/>
    <w:rsid w:val="00B429A0"/>
    <w:rsid w:val="00B43CFC"/>
    <w:rsid w:val="00B44DF4"/>
    <w:rsid w:val="00B45448"/>
    <w:rsid w:val="00B46CDE"/>
    <w:rsid w:val="00B50A09"/>
    <w:rsid w:val="00B50B64"/>
    <w:rsid w:val="00B50DFC"/>
    <w:rsid w:val="00B5194D"/>
    <w:rsid w:val="00B52FCC"/>
    <w:rsid w:val="00B5452F"/>
    <w:rsid w:val="00B55BB8"/>
    <w:rsid w:val="00B55FEB"/>
    <w:rsid w:val="00B56481"/>
    <w:rsid w:val="00B56E7C"/>
    <w:rsid w:val="00B605C8"/>
    <w:rsid w:val="00B60DD8"/>
    <w:rsid w:val="00B62BF8"/>
    <w:rsid w:val="00B63D77"/>
    <w:rsid w:val="00B641D2"/>
    <w:rsid w:val="00B64710"/>
    <w:rsid w:val="00B64DCF"/>
    <w:rsid w:val="00B65070"/>
    <w:rsid w:val="00B67584"/>
    <w:rsid w:val="00B67CCD"/>
    <w:rsid w:val="00B70BE7"/>
    <w:rsid w:val="00B70DC4"/>
    <w:rsid w:val="00B71942"/>
    <w:rsid w:val="00B71F01"/>
    <w:rsid w:val="00B720FB"/>
    <w:rsid w:val="00B73762"/>
    <w:rsid w:val="00B74725"/>
    <w:rsid w:val="00B74B80"/>
    <w:rsid w:val="00B754E7"/>
    <w:rsid w:val="00B760CC"/>
    <w:rsid w:val="00B76293"/>
    <w:rsid w:val="00B76DC6"/>
    <w:rsid w:val="00B82950"/>
    <w:rsid w:val="00B85ECF"/>
    <w:rsid w:val="00B86C8F"/>
    <w:rsid w:val="00B8749E"/>
    <w:rsid w:val="00B908E2"/>
    <w:rsid w:val="00B91222"/>
    <w:rsid w:val="00B9497F"/>
    <w:rsid w:val="00B9510F"/>
    <w:rsid w:val="00BA10BA"/>
    <w:rsid w:val="00BA52A0"/>
    <w:rsid w:val="00BA60D4"/>
    <w:rsid w:val="00BA64BF"/>
    <w:rsid w:val="00BA6DB2"/>
    <w:rsid w:val="00BA6FA9"/>
    <w:rsid w:val="00BA6FD0"/>
    <w:rsid w:val="00BA725E"/>
    <w:rsid w:val="00BA773A"/>
    <w:rsid w:val="00BA7A48"/>
    <w:rsid w:val="00BB137B"/>
    <w:rsid w:val="00BB21C0"/>
    <w:rsid w:val="00BB2B99"/>
    <w:rsid w:val="00BB4FFE"/>
    <w:rsid w:val="00BB73D9"/>
    <w:rsid w:val="00BB7CB6"/>
    <w:rsid w:val="00BB7E7D"/>
    <w:rsid w:val="00BB7ECA"/>
    <w:rsid w:val="00BC13F7"/>
    <w:rsid w:val="00BC4A58"/>
    <w:rsid w:val="00BC5973"/>
    <w:rsid w:val="00BC5CB0"/>
    <w:rsid w:val="00BC736F"/>
    <w:rsid w:val="00BC746F"/>
    <w:rsid w:val="00BD0CCF"/>
    <w:rsid w:val="00BD0EDE"/>
    <w:rsid w:val="00BD213F"/>
    <w:rsid w:val="00BD3798"/>
    <w:rsid w:val="00BD3EC8"/>
    <w:rsid w:val="00BD456F"/>
    <w:rsid w:val="00BD46B2"/>
    <w:rsid w:val="00BD6185"/>
    <w:rsid w:val="00BD63F3"/>
    <w:rsid w:val="00BD6ADF"/>
    <w:rsid w:val="00BE1E7B"/>
    <w:rsid w:val="00BF3931"/>
    <w:rsid w:val="00BF4540"/>
    <w:rsid w:val="00BF71E5"/>
    <w:rsid w:val="00BF78D1"/>
    <w:rsid w:val="00C02C77"/>
    <w:rsid w:val="00C037BF"/>
    <w:rsid w:val="00C06AC5"/>
    <w:rsid w:val="00C06C29"/>
    <w:rsid w:val="00C07DD0"/>
    <w:rsid w:val="00C105BF"/>
    <w:rsid w:val="00C11F7F"/>
    <w:rsid w:val="00C124CB"/>
    <w:rsid w:val="00C129C6"/>
    <w:rsid w:val="00C137E0"/>
    <w:rsid w:val="00C16726"/>
    <w:rsid w:val="00C16B39"/>
    <w:rsid w:val="00C1702B"/>
    <w:rsid w:val="00C205B6"/>
    <w:rsid w:val="00C20B39"/>
    <w:rsid w:val="00C20E61"/>
    <w:rsid w:val="00C24641"/>
    <w:rsid w:val="00C2479C"/>
    <w:rsid w:val="00C24AA1"/>
    <w:rsid w:val="00C24CE5"/>
    <w:rsid w:val="00C26391"/>
    <w:rsid w:val="00C30AD7"/>
    <w:rsid w:val="00C32EDB"/>
    <w:rsid w:val="00C3333C"/>
    <w:rsid w:val="00C333DF"/>
    <w:rsid w:val="00C33A81"/>
    <w:rsid w:val="00C367CF"/>
    <w:rsid w:val="00C376CD"/>
    <w:rsid w:val="00C3772C"/>
    <w:rsid w:val="00C37C0D"/>
    <w:rsid w:val="00C37CEF"/>
    <w:rsid w:val="00C40578"/>
    <w:rsid w:val="00C40914"/>
    <w:rsid w:val="00C41406"/>
    <w:rsid w:val="00C4294F"/>
    <w:rsid w:val="00C4361A"/>
    <w:rsid w:val="00C43BF2"/>
    <w:rsid w:val="00C43EFE"/>
    <w:rsid w:val="00C442B5"/>
    <w:rsid w:val="00C51BEF"/>
    <w:rsid w:val="00C53C53"/>
    <w:rsid w:val="00C54CE0"/>
    <w:rsid w:val="00C556FF"/>
    <w:rsid w:val="00C55A4D"/>
    <w:rsid w:val="00C55BE4"/>
    <w:rsid w:val="00C57472"/>
    <w:rsid w:val="00C604EF"/>
    <w:rsid w:val="00C61819"/>
    <w:rsid w:val="00C62291"/>
    <w:rsid w:val="00C62C3B"/>
    <w:rsid w:val="00C64E39"/>
    <w:rsid w:val="00C67377"/>
    <w:rsid w:val="00C676F0"/>
    <w:rsid w:val="00C7137F"/>
    <w:rsid w:val="00C73BF0"/>
    <w:rsid w:val="00C748D1"/>
    <w:rsid w:val="00C74B47"/>
    <w:rsid w:val="00C759E5"/>
    <w:rsid w:val="00C765C8"/>
    <w:rsid w:val="00C7674C"/>
    <w:rsid w:val="00C77AB9"/>
    <w:rsid w:val="00C77EE1"/>
    <w:rsid w:val="00C82AF3"/>
    <w:rsid w:val="00C82ECE"/>
    <w:rsid w:val="00C82F9B"/>
    <w:rsid w:val="00C8529A"/>
    <w:rsid w:val="00C86834"/>
    <w:rsid w:val="00C87A86"/>
    <w:rsid w:val="00C90F8B"/>
    <w:rsid w:val="00C9140A"/>
    <w:rsid w:val="00C91820"/>
    <w:rsid w:val="00C92845"/>
    <w:rsid w:val="00C92BF9"/>
    <w:rsid w:val="00C9328A"/>
    <w:rsid w:val="00C93E59"/>
    <w:rsid w:val="00C9484F"/>
    <w:rsid w:val="00C95900"/>
    <w:rsid w:val="00C96C9A"/>
    <w:rsid w:val="00C97342"/>
    <w:rsid w:val="00CA119C"/>
    <w:rsid w:val="00CA1605"/>
    <w:rsid w:val="00CA248D"/>
    <w:rsid w:val="00CA3408"/>
    <w:rsid w:val="00CA4094"/>
    <w:rsid w:val="00CA4A39"/>
    <w:rsid w:val="00CA5A18"/>
    <w:rsid w:val="00CA62E0"/>
    <w:rsid w:val="00CA657A"/>
    <w:rsid w:val="00CA6F68"/>
    <w:rsid w:val="00CB1876"/>
    <w:rsid w:val="00CB1B0D"/>
    <w:rsid w:val="00CB1FF8"/>
    <w:rsid w:val="00CB3CC3"/>
    <w:rsid w:val="00CB51A1"/>
    <w:rsid w:val="00CB57FF"/>
    <w:rsid w:val="00CC1E3E"/>
    <w:rsid w:val="00CC21CC"/>
    <w:rsid w:val="00CC3B15"/>
    <w:rsid w:val="00CC3D67"/>
    <w:rsid w:val="00CC4CD6"/>
    <w:rsid w:val="00CC4D8E"/>
    <w:rsid w:val="00CC4E20"/>
    <w:rsid w:val="00CC4FD7"/>
    <w:rsid w:val="00CC526D"/>
    <w:rsid w:val="00CC5BD8"/>
    <w:rsid w:val="00CC6C06"/>
    <w:rsid w:val="00CC70CF"/>
    <w:rsid w:val="00CC76A1"/>
    <w:rsid w:val="00CC7B3C"/>
    <w:rsid w:val="00CC7C8D"/>
    <w:rsid w:val="00CD1035"/>
    <w:rsid w:val="00CD30E9"/>
    <w:rsid w:val="00CD44B3"/>
    <w:rsid w:val="00CD46F6"/>
    <w:rsid w:val="00CD4CF8"/>
    <w:rsid w:val="00CD5A65"/>
    <w:rsid w:val="00CD615B"/>
    <w:rsid w:val="00CD66E1"/>
    <w:rsid w:val="00CD6D8A"/>
    <w:rsid w:val="00CD7760"/>
    <w:rsid w:val="00CE1B34"/>
    <w:rsid w:val="00CE22CC"/>
    <w:rsid w:val="00CE266A"/>
    <w:rsid w:val="00CE355A"/>
    <w:rsid w:val="00CE390A"/>
    <w:rsid w:val="00CE4776"/>
    <w:rsid w:val="00CE4EB1"/>
    <w:rsid w:val="00CE510C"/>
    <w:rsid w:val="00CE52BC"/>
    <w:rsid w:val="00CE5A93"/>
    <w:rsid w:val="00CF1A7A"/>
    <w:rsid w:val="00CF2A2F"/>
    <w:rsid w:val="00CF3EE0"/>
    <w:rsid w:val="00CF533C"/>
    <w:rsid w:val="00CF56C8"/>
    <w:rsid w:val="00CF618D"/>
    <w:rsid w:val="00CF6F93"/>
    <w:rsid w:val="00CF7022"/>
    <w:rsid w:val="00CF7ECB"/>
    <w:rsid w:val="00D01197"/>
    <w:rsid w:val="00D01319"/>
    <w:rsid w:val="00D0131A"/>
    <w:rsid w:val="00D013E3"/>
    <w:rsid w:val="00D01B37"/>
    <w:rsid w:val="00D033AC"/>
    <w:rsid w:val="00D03903"/>
    <w:rsid w:val="00D03A98"/>
    <w:rsid w:val="00D04565"/>
    <w:rsid w:val="00D04A68"/>
    <w:rsid w:val="00D0602C"/>
    <w:rsid w:val="00D07F1A"/>
    <w:rsid w:val="00D11144"/>
    <w:rsid w:val="00D15728"/>
    <w:rsid w:val="00D16C9E"/>
    <w:rsid w:val="00D213EE"/>
    <w:rsid w:val="00D226F2"/>
    <w:rsid w:val="00D248E8"/>
    <w:rsid w:val="00D24F9E"/>
    <w:rsid w:val="00D2550D"/>
    <w:rsid w:val="00D25542"/>
    <w:rsid w:val="00D25879"/>
    <w:rsid w:val="00D260A3"/>
    <w:rsid w:val="00D276D9"/>
    <w:rsid w:val="00D300B3"/>
    <w:rsid w:val="00D3206F"/>
    <w:rsid w:val="00D3271C"/>
    <w:rsid w:val="00D33910"/>
    <w:rsid w:val="00D352AB"/>
    <w:rsid w:val="00D36B99"/>
    <w:rsid w:val="00D36D40"/>
    <w:rsid w:val="00D37908"/>
    <w:rsid w:val="00D43019"/>
    <w:rsid w:val="00D44B7E"/>
    <w:rsid w:val="00D44E7D"/>
    <w:rsid w:val="00D45DB0"/>
    <w:rsid w:val="00D47374"/>
    <w:rsid w:val="00D525D2"/>
    <w:rsid w:val="00D533A5"/>
    <w:rsid w:val="00D5370A"/>
    <w:rsid w:val="00D53778"/>
    <w:rsid w:val="00D54DA7"/>
    <w:rsid w:val="00D55820"/>
    <w:rsid w:val="00D55F54"/>
    <w:rsid w:val="00D56469"/>
    <w:rsid w:val="00D56A30"/>
    <w:rsid w:val="00D602A8"/>
    <w:rsid w:val="00D61D8E"/>
    <w:rsid w:val="00D63949"/>
    <w:rsid w:val="00D649A6"/>
    <w:rsid w:val="00D651B6"/>
    <w:rsid w:val="00D7096B"/>
    <w:rsid w:val="00D73DCA"/>
    <w:rsid w:val="00D74123"/>
    <w:rsid w:val="00D741B5"/>
    <w:rsid w:val="00D7605A"/>
    <w:rsid w:val="00D76065"/>
    <w:rsid w:val="00D7655E"/>
    <w:rsid w:val="00D76F53"/>
    <w:rsid w:val="00D777AB"/>
    <w:rsid w:val="00D77BFA"/>
    <w:rsid w:val="00D804A2"/>
    <w:rsid w:val="00D807B7"/>
    <w:rsid w:val="00D817BE"/>
    <w:rsid w:val="00D82E4D"/>
    <w:rsid w:val="00D85473"/>
    <w:rsid w:val="00D8629B"/>
    <w:rsid w:val="00D86973"/>
    <w:rsid w:val="00D8735A"/>
    <w:rsid w:val="00D92A8E"/>
    <w:rsid w:val="00D92AC7"/>
    <w:rsid w:val="00D93C2A"/>
    <w:rsid w:val="00D9511E"/>
    <w:rsid w:val="00D95CBC"/>
    <w:rsid w:val="00D963AF"/>
    <w:rsid w:val="00DA10D9"/>
    <w:rsid w:val="00DA49F2"/>
    <w:rsid w:val="00DA6243"/>
    <w:rsid w:val="00DB07B9"/>
    <w:rsid w:val="00DB0C67"/>
    <w:rsid w:val="00DB13DD"/>
    <w:rsid w:val="00DB36FE"/>
    <w:rsid w:val="00DB4433"/>
    <w:rsid w:val="00DB4735"/>
    <w:rsid w:val="00DB64C1"/>
    <w:rsid w:val="00DB6A35"/>
    <w:rsid w:val="00DB7768"/>
    <w:rsid w:val="00DC0818"/>
    <w:rsid w:val="00DC0F90"/>
    <w:rsid w:val="00DC1780"/>
    <w:rsid w:val="00DC2167"/>
    <w:rsid w:val="00DC2343"/>
    <w:rsid w:val="00DC3223"/>
    <w:rsid w:val="00DC33B3"/>
    <w:rsid w:val="00DC5738"/>
    <w:rsid w:val="00DC64FE"/>
    <w:rsid w:val="00DC6ABE"/>
    <w:rsid w:val="00DC7E47"/>
    <w:rsid w:val="00DD02CD"/>
    <w:rsid w:val="00DD0574"/>
    <w:rsid w:val="00DD0DBA"/>
    <w:rsid w:val="00DD19B0"/>
    <w:rsid w:val="00DD1C67"/>
    <w:rsid w:val="00DD1F3D"/>
    <w:rsid w:val="00DD2399"/>
    <w:rsid w:val="00DD352A"/>
    <w:rsid w:val="00DD3CB6"/>
    <w:rsid w:val="00DD4FDE"/>
    <w:rsid w:val="00DD5665"/>
    <w:rsid w:val="00DD6F40"/>
    <w:rsid w:val="00DD78A5"/>
    <w:rsid w:val="00DE05CF"/>
    <w:rsid w:val="00DE1ADB"/>
    <w:rsid w:val="00DE240C"/>
    <w:rsid w:val="00DE4568"/>
    <w:rsid w:val="00DE4F05"/>
    <w:rsid w:val="00DE6495"/>
    <w:rsid w:val="00DE7451"/>
    <w:rsid w:val="00DE7B15"/>
    <w:rsid w:val="00DF0188"/>
    <w:rsid w:val="00DF22B8"/>
    <w:rsid w:val="00DF2B15"/>
    <w:rsid w:val="00DF35B4"/>
    <w:rsid w:val="00DF4285"/>
    <w:rsid w:val="00DF48A4"/>
    <w:rsid w:val="00DF5C72"/>
    <w:rsid w:val="00DF638C"/>
    <w:rsid w:val="00DF6F27"/>
    <w:rsid w:val="00E048EF"/>
    <w:rsid w:val="00E04A70"/>
    <w:rsid w:val="00E06A00"/>
    <w:rsid w:val="00E06E0E"/>
    <w:rsid w:val="00E07A26"/>
    <w:rsid w:val="00E108E2"/>
    <w:rsid w:val="00E10960"/>
    <w:rsid w:val="00E12D52"/>
    <w:rsid w:val="00E13DEA"/>
    <w:rsid w:val="00E15202"/>
    <w:rsid w:val="00E15CC7"/>
    <w:rsid w:val="00E16776"/>
    <w:rsid w:val="00E16B6D"/>
    <w:rsid w:val="00E1733F"/>
    <w:rsid w:val="00E17D20"/>
    <w:rsid w:val="00E203C2"/>
    <w:rsid w:val="00E21864"/>
    <w:rsid w:val="00E21DAC"/>
    <w:rsid w:val="00E22336"/>
    <w:rsid w:val="00E22C94"/>
    <w:rsid w:val="00E231E3"/>
    <w:rsid w:val="00E23ACC"/>
    <w:rsid w:val="00E258F3"/>
    <w:rsid w:val="00E25F18"/>
    <w:rsid w:val="00E262DB"/>
    <w:rsid w:val="00E31724"/>
    <w:rsid w:val="00E317CE"/>
    <w:rsid w:val="00E35494"/>
    <w:rsid w:val="00E35BA7"/>
    <w:rsid w:val="00E3670B"/>
    <w:rsid w:val="00E372E8"/>
    <w:rsid w:val="00E41C17"/>
    <w:rsid w:val="00E44A1B"/>
    <w:rsid w:val="00E462CF"/>
    <w:rsid w:val="00E475F9"/>
    <w:rsid w:val="00E500A9"/>
    <w:rsid w:val="00E501F5"/>
    <w:rsid w:val="00E512BF"/>
    <w:rsid w:val="00E51DD7"/>
    <w:rsid w:val="00E53490"/>
    <w:rsid w:val="00E53E4A"/>
    <w:rsid w:val="00E541D6"/>
    <w:rsid w:val="00E544D3"/>
    <w:rsid w:val="00E54C67"/>
    <w:rsid w:val="00E54DB4"/>
    <w:rsid w:val="00E552DE"/>
    <w:rsid w:val="00E566C1"/>
    <w:rsid w:val="00E575AC"/>
    <w:rsid w:val="00E57658"/>
    <w:rsid w:val="00E607C1"/>
    <w:rsid w:val="00E613F7"/>
    <w:rsid w:val="00E62F3C"/>
    <w:rsid w:val="00E63E00"/>
    <w:rsid w:val="00E64FC4"/>
    <w:rsid w:val="00E653B3"/>
    <w:rsid w:val="00E678CD"/>
    <w:rsid w:val="00E70438"/>
    <w:rsid w:val="00E70642"/>
    <w:rsid w:val="00E71378"/>
    <w:rsid w:val="00E72B42"/>
    <w:rsid w:val="00E74826"/>
    <w:rsid w:val="00E7521D"/>
    <w:rsid w:val="00E77A3B"/>
    <w:rsid w:val="00E77E2E"/>
    <w:rsid w:val="00E80ACB"/>
    <w:rsid w:val="00E81A6C"/>
    <w:rsid w:val="00E81C3F"/>
    <w:rsid w:val="00E82743"/>
    <w:rsid w:val="00E82A6D"/>
    <w:rsid w:val="00E82B57"/>
    <w:rsid w:val="00E83D4B"/>
    <w:rsid w:val="00E83E31"/>
    <w:rsid w:val="00E8478A"/>
    <w:rsid w:val="00E87484"/>
    <w:rsid w:val="00E90274"/>
    <w:rsid w:val="00E925C0"/>
    <w:rsid w:val="00E9278C"/>
    <w:rsid w:val="00E92A17"/>
    <w:rsid w:val="00E92C0D"/>
    <w:rsid w:val="00E92E59"/>
    <w:rsid w:val="00E934A6"/>
    <w:rsid w:val="00E9408B"/>
    <w:rsid w:val="00E94127"/>
    <w:rsid w:val="00E944DE"/>
    <w:rsid w:val="00E95E3B"/>
    <w:rsid w:val="00E9756A"/>
    <w:rsid w:val="00EA0A06"/>
    <w:rsid w:val="00EA37D4"/>
    <w:rsid w:val="00EA3877"/>
    <w:rsid w:val="00EA433D"/>
    <w:rsid w:val="00EA4748"/>
    <w:rsid w:val="00EA5263"/>
    <w:rsid w:val="00EA60EA"/>
    <w:rsid w:val="00EA6545"/>
    <w:rsid w:val="00EA6DDB"/>
    <w:rsid w:val="00EA7072"/>
    <w:rsid w:val="00EA7433"/>
    <w:rsid w:val="00EB0077"/>
    <w:rsid w:val="00EB2255"/>
    <w:rsid w:val="00EB434D"/>
    <w:rsid w:val="00EB63BB"/>
    <w:rsid w:val="00EB6734"/>
    <w:rsid w:val="00EC42DB"/>
    <w:rsid w:val="00EC5752"/>
    <w:rsid w:val="00EC707C"/>
    <w:rsid w:val="00ED1004"/>
    <w:rsid w:val="00ED1668"/>
    <w:rsid w:val="00ED1969"/>
    <w:rsid w:val="00ED2BF0"/>
    <w:rsid w:val="00ED2F9E"/>
    <w:rsid w:val="00ED33AB"/>
    <w:rsid w:val="00ED4463"/>
    <w:rsid w:val="00ED4BA8"/>
    <w:rsid w:val="00ED5565"/>
    <w:rsid w:val="00ED7820"/>
    <w:rsid w:val="00EE136F"/>
    <w:rsid w:val="00EE1559"/>
    <w:rsid w:val="00EE5179"/>
    <w:rsid w:val="00EE6164"/>
    <w:rsid w:val="00EE70A6"/>
    <w:rsid w:val="00EE776A"/>
    <w:rsid w:val="00EE7ABB"/>
    <w:rsid w:val="00EF0360"/>
    <w:rsid w:val="00EF111D"/>
    <w:rsid w:val="00EF2521"/>
    <w:rsid w:val="00EF692C"/>
    <w:rsid w:val="00EF6B99"/>
    <w:rsid w:val="00EF6DEA"/>
    <w:rsid w:val="00EF75D9"/>
    <w:rsid w:val="00EF7ED9"/>
    <w:rsid w:val="00F001EB"/>
    <w:rsid w:val="00F00EF0"/>
    <w:rsid w:val="00F01DFE"/>
    <w:rsid w:val="00F02471"/>
    <w:rsid w:val="00F02BDA"/>
    <w:rsid w:val="00F0383A"/>
    <w:rsid w:val="00F038B5"/>
    <w:rsid w:val="00F038DC"/>
    <w:rsid w:val="00F05C85"/>
    <w:rsid w:val="00F10B3A"/>
    <w:rsid w:val="00F10C7B"/>
    <w:rsid w:val="00F11C0C"/>
    <w:rsid w:val="00F124FD"/>
    <w:rsid w:val="00F131A1"/>
    <w:rsid w:val="00F131BD"/>
    <w:rsid w:val="00F15788"/>
    <w:rsid w:val="00F15B77"/>
    <w:rsid w:val="00F16701"/>
    <w:rsid w:val="00F21384"/>
    <w:rsid w:val="00F21B24"/>
    <w:rsid w:val="00F22253"/>
    <w:rsid w:val="00F22360"/>
    <w:rsid w:val="00F231E3"/>
    <w:rsid w:val="00F2354F"/>
    <w:rsid w:val="00F241E2"/>
    <w:rsid w:val="00F26257"/>
    <w:rsid w:val="00F266F5"/>
    <w:rsid w:val="00F26924"/>
    <w:rsid w:val="00F31162"/>
    <w:rsid w:val="00F31C70"/>
    <w:rsid w:val="00F34398"/>
    <w:rsid w:val="00F3507C"/>
    <w:rsid w:val="00F35AF5"/>
    <w:rsid w:val="00F35D24"/>
    <w:rsid w:val="00F36B40"/>
    <w:rsid w:val="00F37B10"/>
    <w:rsid w:val="00F401F1"/>
    <w:rsid w:val="00F41216"/>
    <w:rsid w:val="00F41356"/>
    <w:rsid w:val="00F41CBE"/>
    <w:rsid w:val="00F4259B"/>
    <w:rsid w:val="00F426F8"/>
    <w:rsid w:val="00F43793"/>
    <w:rsid w:val="00F50207"/>
    <w:rsid w:val="00F50BF7"/>
    <w:rsid w:val="00F51A25"/>
    <w:rsid w:val="00F52327"/>
    <w:rsid w:val="00F52A37"/>
    <w:rsid w:val="00F55454"/>
    <w:rsid w:val="00F55767"/>
    <w:rsid w:val="00F5724A"/>
    <w:rsid w:val="00F60239"/>
    <w:rsid w:val="00F61D4A"/>
    <w:rsid w:val="00F6272F"/>
    <w:rsid w:val="00F6358E"/>
    <w:rsid w:val="00F63D46"/>
    <w:rsid w:val="00F6713A"/>
    <w:rsid w:val="00F67319"/>
    <w:rsid w:val="00F67AB7"/>
    <w:rsid w:val="00F7177B"/>
    <w:rsid w:val="00F80039"/>
    <w:rsid w:val="00F80606"/>
    <w:rsid w:val="00F80BAD"/>
    <w:rsid w:val="00F82293"/>
    <w:rsid w:val="00F823AF"/>
    <w:rsid w:val="00F82F72"/>
    <w:rsid w:val="00F83CEC"/>
    <w:rsid w:val="00F84DFD"/>
    <w:rsid w:val="00F86CF5"/>
    <w:rsid w:val="00F86F6E"/>
    <w:rsid w:val="00F8757D"/>
    <w:rsid w:val="00F878E2"/>
    <w:rsid w:val="00F91F64"/>
    <w:rsid w:val="00F9243A"/>
    <w:rsid w:val="00F927FA"/>
    <w:rsid w:val="00F94418"/>
    <w:rsid w:val="00F94B35"/>
    <w:rsid w:val="00F96330"/>
    <w:rsid w:val="00F963BF"/>
    <w:rsid w:val="00F968CD"/>
    <w:rsid w:val="00F97E25"/>
    <w:rsid w:val="00F97F87"/>
    <w:rsid w:val="00FA02AC"/>
    <w:rsid w:val="00FA0975"/>
    <w:rsid w:val="00FA11F6"/>
    <w:rsid w:val="00FA127F"/>
    <w:rsid w:val="00FA1D0E"/>
    <w:rsid w:val="00FA2359"/>
    <w:rsid w:val="00FA2552"/>
    <w:rsid w:val="00FA28FE"/>
    <w:rsid w:val="00FA2E9B"/>
    <w:rsid w:val="00FA484E"/>
    <w:rsid w:val="00FA6141"/>
    <w:rsid w:val="00FA7126"/>
    <w:rsid w:val="00FB01D1"/>
    <w:rsid w:val="00FB0E04"/>
    <w:rsid w:val="00FB1B9B"/>
    <w:rsid w:val="00FB2025"/>
    <w:rsid w:val="00FB207D"/>
    <w:rsid w:val="00FB32C0"/>
    <w:rsid w:val="00FB3770"/>
    <w:rsid w:val="00FB40A3"/>
    <w:rsid w:val="00FB4930"/>
    <w:rsid w:val="00FB631E"/>
    <w:rsid w:val="00FB67DB"/>
    <w:rsid w:val="00FB6B41"/>
    <w:rsid w:val="00FC0BEE"/>
    <w:rsid w:val="00FC20C7"/>
    <w:rsid w:val="00FC493C"/>
    <w:rsid w:val="00FC5030"/>
    <w:rsid w:val="00FD1230"/>
    <w:rsid w:val="00FD1FD9"/>
    <w:rsid w:val="00FD2179"/>
    <w:rsid w:val="00FD27EA"/>
    <w:rsid w:val="00FD41AA"/>
    <w:rsid w:val="00FD43AA"/>
    <w:rsid w:val="00FD4EB0"/>
    <w:rsid w:val="00FD5F07"/>
    <w:rsid w:val="00FD603A"/>
    <w:rsid w:val="00FE3682"/>
    <w:rsid w:val="00FE4C70"/>
    <w:rsid w:val="00FE64A4"/>
    <w:rsid w:val="00FE64D2"/>
    <w:rsid w:val="00FE675D"/>
    <w:rsid w:val="00FF02A2"/>
    <w:rsid w:val="00FF1E86"/>
    <w:rsid w:val="00FF349B"/>
    <w:rsid w:val="00FF46ED"/>
    <w:rsid w:val="00FF63AB"/>
    <w:rsid w:val="00FF6B17"/>
    <w:rsid w:val="01867728"/>
    <w:rsid w:val="01AA17A9"/>
    <w:rsid w:val="01BC0EA9"/>
    <w:rsid w:val="01CF1530"/>
    <w:rsid w:val="022006DD"/>
    <w:rsid w:val="02BC531F"/>
    <w:rsid w:val="02FE0D87"/>
    <w:rsid w:val="037D6283"/>
    <w:rsid w:val="03820F61"/>
    <w:rsid w:val="04014718"/>
    <w:rsid w:val="040D7A92"/>
    <w:rsid w:val="042042C5"/>
    <w:rsid w:val="042F32F9"/>
    <w:rsid w:val="0475126B"/>
    <w:rsid w:val="0477330D"/>
    <w:rsid w:val="04B363BF"/>
    <w:rsid w:val="04E6106A"/>
    <w:rsid w:val="04F548E2"/>
    <w:rsid w:val="05C17182"/>
    <w:rsid w:val="0678446B"/>
    <w:rsid w:val="06B67682"/>
    <w:rsid w:val="06E27BE5"/>
    <w:rsid w:val="072B545A"/>
    <w:rsid w:val="07425826"/>
    <w:rsid w:val="07603356"/>
    <w:rsid w:val="07A536DF"/>
    <w:rsid w:val="07B87203"/>
    <w:rsid w:val="07BA7687"/>
    <w:rsid w:val="07FF39E2"/>
    <w:rsid w:val="0802064E"/>
    <w:rsid w:val="08255293"/>
    <w:rsid w:val="087A4CF6"/>
    <w:rsid w:val="08826151"/>
    <w:rsid w:val="08C25F72"/>
    <w:rsid w:val="08CB23F7"/>
    <w:rsid w:val="08CE6C9C"/>
    <w:rsid w:val="08D22F84"/>
    <w:rsid w:val="08EF786F"/>
    <w:rsid w:val="092E76B5"/>
    <w:rsid w:val="09560255"/>
    <w:rsid w:val="097240CE"/>
    <w:rsid w:val="09EB3234"/>
    <w:rsid w:val="0A133364"/>
    <w:rsid w:val="0A4D09B2"/>
    <w:rsid w:val="0A916A6F"/>
    <w:rsid w:val="0AB90862"/>
    <w:rsid w:val="0AC21C32"/>
    <w:rsid w:val="0AE35DBC"/>
    <w:rsid w:val="0B1943DE"/>
    <w:rsid w:val="0B3E3A03"/>
    <w:rsid w:val="0B73117E"/>
    <w:rsid w:val="0B7376EA"/>
    <w:rsid w:val="0B9F0950"/>
    <w:rsid w:val="0BD229D0"/>
    <w:rsid w:val="0C7859BC"/>
    <w:rsid w:val="0C7E602C"/>
    <w:rsid w:val="0CAD556E"/>
    <w:rsid w:val="0DB779FE"/>
    <w:rsid w:val="0DE14AC5"/>
    <w:rsid w:val="0E050974"/>
    <w:rsid w:val="0E096869"/>
    <w:rsid w:val="0E176739"/>
    <w:rsid w:val="0E493F72"/>
    <w:rsid w:val="0E9243A5"/>
    <w:rsid w:val="0E9E37E2"/>
    <w:rsid w:val="0EA35C53"/>
    <w:rsid w:val="0EEC70F9"/>
    <w:rsid w:val="0F396D54"/>
    <w:rsid w:val="0FB22309"/>
    <w:rsid w:val="0FB87AA7"/>
    <w:rsid w:val="0FD110F1"/>
    <w:rsid w:val="0FF705D0"/>
    <w:rsid w:val="0FFB55CF"/>
    <w:rsid w:val="10225FA8"/>
    <w:rsid w:val="103A226A"/>
    <w:rsid w:val="10462FC1"/>
    <w:rsid w:val="106623B3"/>
    <w:rsid w:val="10A43E9B"/>
    <w:rsid w:val="10D06F5D"/>
    <w:rsid w:val="11405788"/>
    <w:rsid w:val="116A0748"/>
    <w:rsid w:val="118A6A17"/>
    <w:rsid w:val="11B13C95"/>
    <w:rsid w:val="11B20C52"/>
    <w:rsid w:val="120B06F1"/>
    <w:rsid w:val="121F0AF9"/>
    <w:rsid w:val="123D2705"/>
    <w:rsid w:val="128C71CF"/>
    <w:rsid w:val="12936999"/>
    <w:rsid w:val="138076CE"/>
    <w:rsid w:val="13F5497F"/>
    <w:rsid w:val="14CE02F3"/>
    <w:rsid w:val="14EA7D84"/>
    <w:rsid w:val="154E4A13"/>
    <w:rsid w:val="15642B60"/>
    <w:rsid w:val="15842905"/>
    <w:rsid w:val="15E46F00"/>
    <w:rsid w:val="15E5487A"/>
    <w:rsid w:val="162E0AC3"/>
    <w:rsid w:val="164C37DD"/>
    <w:rsid w:val="168558B0"/>
    <w:rsid w:val="169424AC"/>
    <w:rsid w:val="169923E1"/>
    <w:rsid w:val="16A959C1"/>
    <w:rsid w:val="16F06D66"/>
    <w:rsid w:val="17890069"/>
    <w:rsid w:val="17D7279A"/>
    <w:rsid w:val="18214F3F"/>
    <w:rsid w:val="18404881"/>
    <w:rsid w:val="187C3F0D"/>
    <w:rsid w:val="18A344B8"/>
    <w:rsid w:val="19275D36"/>
    <w:rsid w:val="19B23BEF"/>
    <w:rsid w:val="19B27315"/>
    <w:rsid w:val="1A381F10"/>
    <w:rsid w:val="1A400DC5"/>
    <w:rsid w:val="1A9264F3"/>
    <w:rsid w:val="1B8F2E5C"/>
    <w:rsid w:val="1BD50FB4"/>
    <w:rsid w:val="1C7B60E4"/>
    <w:rsid w:val="1CCB29E7"/>
    <w:rsid w:val="1CE722F9"/>
    <w:rsid w:val="1D0A1FF5"/>
    <w:rsid w:val="1D5279D3"/>
    <w:rsid w:val="1DA91A6B"/>
    <w:rsid w:val="1DA97596"/>
    <w:rsid w:val="1E3E561C"/>
    <w:rsid w:val="1E455D43"/>
    <w:rsid w:val="1E5D4ADB"/>
    <w:rsid w:val="1E8079E2"/>
    <w:rsid w:val="1E944404"/>
    <w:rsid w:val="1E982F7E"/>
    <w:rsid w:val="1EAD2DAD"/>
    <w:rsid w:val="1EB93DAD"/>
    <w:rsid w:val="1EBC6AEB"/>
    <w:rsid w:val="1EC02718"/>
    <w:rsid w:val="1EED569D"/>
    <w:rsid w:val="1F0760DA"/>
    <w:rsid w:val="1F8B1EEB"/>
    <w:rsid w:val="1FF22CFC"/>
    <w:rsid w:val="1FFB1135"/>
    <w:rsid w:val="1FFF1107"/>
    <w:rsid w:val="200B7DAA"/>
    <w:rsid w:val="2033641D"/>
    <w:rsid w:val="204F5C44"/>
    <w:rsid w:val="206D4048"/>
    <w:rsid w:val="20D12B0B"/>
    <w:rsid w:val="20EC0864"/>
    <w:rsid w:val="211D3993"/>
    <w:rsid w:val="2122792B"/>
    <w:rsid w:val="21293272"/>
    <w:rsid w:val="212E3725"/>
    <w:rsid w:val="21746010"/>
    <w:rsid w:val="218712BD"/>
    <w:rsid w:val="219121BD"/>
    <w:rsid w:val="21C60556"/>
    <w:rsid w:val="21E24E3D"/>
    <w:rsid w:val="22124487"/>
    <w:rsid w:val="22140033"/>
    <w:rsid w:val="22283438"/>
    <w:rsid w:val="22350AE4"/>
    <w:rsid w:val="22410236"/>
    <w:rsid w:val="224B4D3B"/>
    <w:rsid w:val="227F06EB"/>
    <w:rsid w:val="22B365D8"/>
    <w:rsid w:val="232022E5"/>
    <w:rsid w:val="233446BC"/>
    <w:rsid w:val="237C7755"/>
    <w:rsid w:val="23AD7EB9"/>
    <w:rsid w:val="23D20EF2"/>
    <w:rsid w:val="23E333F6"/>
    <w:rsid w:val="23EE245A"/>
    <w:rsid w:val="240B5E0E"/>
    <w:rsid w:val="24287DDA"/>
    <w:rsid w:val="24451232"/>
    <w:rsid w:val="24893E91"/>
    <w:rsid w:val="24B4471F"/>
    <w:rsid w:val="24D47183"/>
    <w:rsid w:val="25174820"/>
    <w:rsid w:val="253A4D8F"/>
    <w:rsid w:val="257D5CEF"/>
    <w:rsid w:val="25830D3C"/>
    <w:rsid w:val="25AC68FA"/>
    <w:rsid w:val="25BD32CA"/>
    <w:rsid w:val="25D72F55"/>
    <w:rsid w:val="25E44DBA"/>
    <w:rsid w:val="25E6256F"/>
    <w:rsid w:val="26226A54"/>
    <w:rsid w:val="26363C98"/>
    <w:rsid w:val="263E5BA2"/>
    <w:rsid w:val="26563B2E"/>
    <w:rsid w:val="267C1E01"/>
    <w:rsid w:val="26893EC7"/>
    <w:rsid w:val="269B185D"/>
    <w:rsid w:val="26A616D9"/>
    <w:rsid w:val="26F77447"/>
    <w:rsid w:val="270C264D"/>
    <w:rsid w:val="27136DAE"/>
    <w:rsid w:val="271A6799"/>
    <w:rsid w:val="273F0A40"/>
    <w:rsid w:val="27AC07C1"/>
    <w:rsid w:val="27CC075D"/>
    <w:rsid w:val="27DE4729"/>
    <w:rsid w:val="28001B52"/>
    <w:rsid w:val="288C3979"/>
    <w:rsid w:val="28C00A39"/>
    <w:rsid w:val="29180559"/>
    <w:rsid w:val="296E51A1"/>
    <w:rsid w:val="29B96B21"/>
    <w:rsid w:val="29BB6DB5"/>
    <w:rsid w:val="29D75CA2"/>
    <w:rsid w:val="29E03FDF"/>
    <w:rsid w:val="29FF1D2E"/>
    <w:rsid w:val="2A1B1759"/>
    <w:rsid w:val="2A2C5930"/>
    <w:rsid w:val="2A75473B"/>
    <w:rsid w:val="2ACA1B41"/>
    <w:rsid w:val="2B053FA0"/>
    <w:rsid w:val="2B3C424A"/>
    <w:rsid w:val="2B3E4EAD"/>
    <w:rsid w:val="2B4D413A"/>
    <w:rsid w:val="2B4E1DD6"/>
    <w:rsid w:val="2B7C450B"/>
    <w:rsid w:val="2BD575BF"/>
    <w:rsid w:val="2BEF4671"/>
    <w:rsid w:val="2C0042D2"/>
    <w:rsid w:val="2C907466"/>
    <w:rsid w:val="2CB1412F"/>
    <w:rsid w:val="2CD34F38"/>
    <w:rsid w:val="2D314CC9"/>
    <w:rsid w:val="2D5B72FB"/>
    <w:rsid w:val="2D740797"/>
    <w:rsid w:val="2D9A00A1"/>
    <w:rsid w:val="2D9E2B9E"/>
    <w:rsid w:val="2DB73DD3"/>
    <w:rsid w:val="2DD80833"/>
    <w:rsid w:val="2DEB69F1"/>
    <w:rsid w:val="2E2C2779"/>
    <w:rsid w:val="2EA73AF8"/>
    <w:rsid w:val="2EC21951"/>
    <w:rsid w:val="2EE12114"/>
    <w:rsid w:val="2F373E28"/>
    <w:rsid w:val="2F47799C"/>
    <w:rsid w:val="2F733D4F"/>
    <w:rsid w:val="2FE0058B"/>
    <w:rsid w:val="30086166"/>
    <w:rsid w:val="302859FC"/>
    <w:rsid w:val="30645E36"/>
    <w:rsid w:val="308178C3"/>
    <w:rsid w:val="30B70B43"/>
    <w:rsid w:val="30CA09DF"/>
    <w:rsid w:val="30CB0468"/>
    <w:rsid w:val="311951AD"/>
    <w:rsid w:val="31836FD5"/>
    <w:rsid w:val="31900DC8"/>
    <w:rsid w:val="31D03157"/>
    <w:rsid w:val="32241437"/>
    <w:rsid w:val="324E1E79"/>
    <w:rsid w:val="32BE7577"/>
    <w:rsid w:val="32FE549C"/>
    <w:rsid w:val="33203727"/>
    <w:rsid w:val="334212B2"/>
    <w:rsid w:val="33505632"/>
    <w:rsid w:val="33E95618"/>
    <w:rsid w:val="345474EF"/>
    <w:rsid w:val="345E4658"/>
    <w:rsid w:val="346565E2"/>
    <w:rsid w:val="34726E8A"/>
    <w:rsid w:val="34923EA7"/>
    <w:rsid w:val="34961F6B"/>
    <w:rsid w:val="34B00BC9"/>
    <w:rsid w:val="34CC52D7"/>
    <w:rsid w:val="3507543F"/>
    <w:rsid w:val="35183D37"/>
    <w:rsid w:val="35206E55"/>
    <w:rsid w:val="354374CE"/>
    <w:rsid w:val="357D5CC8"/>
    <w:rsid w:val="359E6EF9"/>
    <w:rsid w:val="35A35AF4"/>
    <w:rsid w:val="35D44F0D"/>
    <w:rsid w:val="36052DA2"/>
    <w:rsid w:val="36B459C2"/>
    <w:rsid w:val="372B2789"/>
    <w:rsid w:val="3736727E"/>
    <w:rsid w:val="37BE4DAE"/>
    <w:rsid w:val="37F52BD9"/>
    <w:rsid w:val="38614F73"/>
    <w:rsid w:val="38F90665"/>
    <w:rsid w:val="392E030F"/>
    <w:rsid w:val="393D0552"/>
    <w:rsid w:val="39613EA2"/>
    <w:rsid w:val="397313FF"/>
    <w:rsid w:val="399E508F"/>
    <w:rsid w:val="39AD3929"/>
    <w:rsid w:val="39D66B22"/>
    <w:rsid w:val="3A0234C6"/>
    <w:rsid w:val="3A1A5E57"/>
    <w:rsid w:val="3A7201F4"/>
    <w:rsid w:val="3AE13325"/>
    <w:rsid w:val="3AFE13AA"/>
    <w:rsid w:val="3B7B10D8"/>
    <w:rsid w:val="3B9F5737"/>
    <w:rsid w:val="3BEB6A40"/>
    <w:rsid w:val="3C153A08"/>
    <w:rsid w:val="3C306A17"/>
    <w:rsid w:val="3C4F0D1C"/>
    <w:rsid w:val="3C9C4DA6"/>
    <w:rsid w:val="3CE54EBA"/>
    <w:rsid w:val="3D037D04"/>
    <w:rsid w:val="3D5468A1"/>
    <w:rsid w:val="3D580050"/>
    <w:rsid w:val="3D9D6D12"/>
    <w:rsid w:val="3DF46045"/>
    <w:rsid w:val="3E2E5F95"/>
    <w:rsid w:val="3E814599"/>
    <w:rsid w:val="3E906080"/>
    <w:rsid w:val="3EC70218"/>
    <w:rsid w:val="3EC828FC"/>
    <w:rsid w:val="3ED951C1"/>
    <w:rsid w:val="3EF618CF"/>
    <w:rsid w:val="3F257542"/>
    <w:rsid w:val="3F2969DF"/>
    <w:rsid w:val="3F2C2BC3"/>
    <w:rsid w:val="3F772185"/>
    <w:rsid w:val="3FFD4C7F"/>
    <w:rsid w:val="4093314D"/>
    <w:rsid w:val="409A1E25"/>
    <w:rsid w:val="41314E40"/>
    <w:rsid w:val="41325676"/>
    <w:rsid w:val="41A82C28"/>
    <w:rsid w:val="41D14CCB"/>
    <w:rsid w:val="41D63C39"/>
    <w:rsid w:val="41EB10A0"/>
    <w:rsid w:val="42083D9E"/>
    <w:rsid w:val="426475FC"/>
    <w:rsid w:val="426A32F3"/>
    <w:rsid w:val="426D64A3"/>
    <w:rsid w:val="429D3D72"/>
    <w:rsid w:val="42BD3FCF"/>
    <w:rsid w:val="42C056DE"/>
    <w:rsid w:val="42CC3CF1"/>
    <w:rsid w:val="43034943"/>
    <w:rsid w:val="4318390C"/>
    <w:rsid w:val="43B83C59"/>
    <w:rsid w:val="43DB4339"/>
    <w:rsid w:val="44097D15"/>
    <w:rsid w:val="440F51E1"/>
    <w:rsid w:val="44245F3F"/>
    <w:rsid w:val="443D5BA6"/>
    <w:rsid w:val="44963902"/>
    <w:rsid w:val="452D2D58"/>
    <w:rsid w:val="453624BC"/>
    <w:rsid w:val="453E7F0C"/>
    <w:rsid w:val="459C4852"/>
    <w:rsid w:val="459F3FCB"/>
    <w:rsid w:val="45C36654"/>
    <w:rsid w:val="460272CE"/>
    <w:rsid w:val="460F319A"/>
    <w:rsid w:val="46113492"/>
    <w:rsid w:val="461D00B2"/>
    <w:rsid w:val="46DA77B5"/>
    <w:rsid w:val="46FE3A16"/>
    <w:rsid w:val="47414B82"/>
    <w:rsid w:val="47465A43"/>
    <w:rsid w:val="47594A33"/>
    <w:rsid w:val="48224FC6"/>
    <w:rsid w:val="48607B76"/>
    <w:rsid w:val="486C01CE"/>
    <w:rsid w:val="48A948EB"/>
    <w:rsid w:val="48E15BEE"/>
    <w:rsid w:val="490746D8"/>
    <w:rsid w:val="49143929"/>
    <w:rsid w:val="4A1130FF"/>
    <w:rsid w:val="4A407EA2"/>
    <w:rsid w:val="4A5B3436"/>
    <w:rsid w:val="4A6C6DBE"/>
    <w:rsid w:val="4AA62BF7"/>
    <w:rsid w:val="4AE271AB"/>
    <w:rsid w:val="4AE80A02"/>
    <w:rsid w:val="4B06733D"/>
    <w:rsid w:val="4B651CAB"/>
    <w:rsid w:val="4B75C223"/>
    <w:rsid w:val="4BA57A46"/>
    <w:rsid w:val="4BED5E07"/>
    <w:rsid w:val="4BF74ED8"/>
    <w:rsid w:val="4C6376A8"/>
    <w:rsid w:val="4D1F0243"/>
    <w:rsid w:val="4D3A4CF1"/>
    <w:rsid w:val="4D4F5AA8"/>
    <w:rsid w:val="4D655D94"/>
    <w:rsid w:val="4DFA480C"/>
    <w:rsid w:val="4E514EFC"/>
    <w:rsid w:val="4E5B0121"/>
    <w:rsid w:val="4E7536F1"/>
    <w:rsid w:val="4EBB5F60"/>
    <w:rsid w:val="4F0264A7"/>
    <w:rsid w:val="4F042786"/>
    <w:rsid w:val="4F154EDE"/>
    <w:rsid w:val="4F3C4273"/>
    <w:rsid w:val="4F5ED246"/>
    <w:rsid w:val="4FD6010C"/>
    <w:rsid w:val="505B248D"/>
    <w:rsid w:val="50616347"/>
    <w:rsid w:val="507550C6"/>
    <w:rsid w:val="507B7B23"/>
    <w:rsid w:val="50A82897"/>
    <w:rsid w:val="50AB7425"/>
    <w:rsid w:val="50B67C25"/>
    <w:rsid w:val="50BD5F0C"/>
    <w:rsid w:val="50C47A44"/>
    <w:rsid w:val="50C7776E"/>
    <w:rsid w:val="51016913"/>
    <w:rsid w:val="513A5B56"/>
    <w:rsid w:val="51816421"/>
    <w:rsid w:val="518A199E"/>
    <w:rsid w:val="519C4558"/>
    <w:rsid w:val="51AC045F"/>
    <w:rsid w:val="52065E75"/>
    <w:rsid w:val="5248052C"/>
    <w:rsid w:val="527322CE"/>
    <w:rsid w:val="52E35DB7"/>
    <w:rsid w:val="53081779"/>
    <w:rsid w:val="530A3743"/>
    <w:rsid w:val="536E5167"/>
    <w:rsid w:val="538B3038"/>
    <w:rsid w:val="53AE2320"/>
    <w:rsid w:val="53F266B1"/>
    <w:rsid w:val="542E60A9"/>
    <w:rsid w:val="54D30F35"/>
    <w:rsid w:val="55142657"/>
    <w:rsid w:val="55365586"/>
    <w:rsid w:val="55C67DF5"/>
    <w:rsid w:val="55E74DD9"/>
    <w:rsid w:val="561371AD"/>
    <w:rsid w:val="565F2B40"/>
    <w:rsid w:val="57155759"/>
    <w:rsid w:val="572D2FE2"/>
    <w:rsid w:val="575D715E"/>
    <w:rsid w:val="57851589"/>
    <w:rsid w:val="578D38B0"/>
    <w:rsid w:val="5798124F"/>
    <w:rsid w:val="57984FB3"/>
    <w:rsid w:val="57A75A04"/>
    <w:rsid w:val="57C73FEA"/>
    <w:rsid w:val="58193BCC"/>
    <w:rsid w:val="58501BF8"/>
    <w:rsid w:val="5884285D"/>
    <w:rsid w:val="588834ED"/>
    <w:rsid w:val="58F01917"/>
    <w:rsid w:val="58FC7A7C"/>
    <w:rsid w:val="594A20BC"/>
    <w:rsid w:val="59D931D8"/>
    <w:rsid w:val="5A15114F"/>
    <w:rsid w:val="5A2F24DA"/>
    <w:rsid w:val="5A3A3BDF"/>
    <w:rsid w:val="5A4E604B"/>
    <w:rsid w:val="5A6213BE"/>
    <w:rsid w:val="5A7B0A82"/>
    <w:rsid w:val="5AAE463C"/>
    <w:rsid w:val="5AD84127"/>
    <w:rsid w:val="5AF2343A"/>
    <w:rsid w:val="5B3F2991"/>
    <w:rsid w:val="5B667984"/>
    <w:rsid w:val="5B883334"/>
    <w:rsid w:val="5B9F09CE"/>
    <w:rsid w:val="5C0255D3"/>
    <w:rsid w:val="5C801169"/>
    <w:rsid w:val="5C967DF5"/>
    <w:rsid w:val="5C981DBF"/>
    <w:rsid w:val="5CB12DBA"/>
    <w:rsid w:val="5CB55D38"/>
    <w:rsid w:val="5CBD35D4"/>
    <w:rsid w:val="5CD94E88"/>
    <w:rsid w:val="5CF52498"/>
    <w:rsid w:val="5CF73C00"/>
    <w:rsid w:val="5D23C2D2"/>
    <w:rsid w:val="5D891185"/>
    <w:rsid w:val="5D955C26"/>
    <w:rsid w:val="5DBE6ACC"/>
    <w:rsid w:val="5DD7A8F1"/>
    <w:rsid w:val="5DE36743"/>
    <w:rsid w:val="5DFE3EA4"/>
    <w:rsid w:val="5E1E4F68"/>
    <w:rsid w:val="5EF65131"/>
    <w:rsid w:val="5F831162"/>
    <w:rsid w:val="5FA37558"/>
    <w:rsid w:val="5FC87FE0"/>
    <w:rsid w:val="600B2F54"/>
    <w:rsid w:val="6017749F"/>
    <w:rsid w:val="60324FC4"/>
    <w:rsid w:val="6045400C"/>
    <w:rsid w:val="60F33A68"/>
    <w:rsid w:val="6134538E"/>
    <w:rsid w:val="6136357B"/>
    <w:rsid w:val="6138591F"/>
    <w:rsid w:val="616F4D20"/>
    <w:rsid w:val="61753F60"/>
    <w:rsid w:val="62012E6C"/>
    <w:rsid w:val="62AA0157"/>
    <w:rsid w:val="62BD6E6F"/>
    <w:rsid w:val="62C45C70"/>
    <w:rsid w:val="62D066D1"/>
    <w:rsid w:val="632628AF"/>
    <w:rsid w:val="63A23524"/>
    <w:rsid w:val="63D464F7"/>
    <w:rsid w:val="64787168"/>
    <w:rsid w:val="64AC3A3B"/>
    <w:rsid w:val="64B000EC"/>
    <w:rsid w:val="64C9683E"/>
    <w:rsid w:val="64CC237E"/>
    <w:rsid w:val="64D67929"/>
    <w:rsid w:val="64E7647A"/>
    <w:rsid w:val="64F97173"/>
    <w:rsid w:val="65060546"/>
    <w:rsid w:val="65072E52"/>
    <w:rsid w:val="65235CC0"/>
    <w:rsid w:val="65AF68E4"/>
    <w:rsid w:val="65E42D79"/>
    <w:rsid w:val="66116187"/>
    <w:rsid w:val="668D4F63"/>
    <w:rsid w:val="66AF431C"/>
    <w:rsid w:val="66E0199B"/>
    <w:rsid w:val="66EC51E2"/>
    <w:rsid w:val="67135E62"/>
    <w:rsid w:val="6719738C"/>
    <w:rsid w:val="674AFAED"/>
    <w:rsid w:val="674E11E6"/>
    <w:rsid w:val="67B73382"/>
    <w:rsid w:val="68376D34"/>
    <w:rsid w:val="68866EFD"/>
    <w:rsid w:val="68A86BF5"/>
    <w:rsid w:val="68AF351F"/>
    <w:rsid w:val="68BC35E6"/>
    <w:rsid w:val="69BA5D05"/>
    <w:rsid w:val="69BD0490"/>
    <w:rsid w:val="69F767C2"/>
    <w:rsid w:val="6A01033E"/>
    <w:rsid w:val="6A1A02B8"/>
    <w:rsid w:val="6A6C4CEC"/>
    <w:rsid w:val="6A7B5952"/>
    <w:rsid w:val="6AC10733"/>
    <w:rsid w:val="6AD95A7D"/>
    <w:rsid w:val="6ADE525F"/>
    <w:rsid w:val="6B7F6D6B"/>
    <w:rsid w:val="6BC02799"/>
    <w:rsid w:val="6BC04E8F"/>
    <w:rsid w:val="6C1949E6"/>
    <w:rsid w:val="6C200D51"/>
    <w:rsid w:val="6C3A7254"/>
    <w:rsid w:val="6CA905F8"/>
    <w:rsid w:val="6CEB6178"/>
    <w:rsid w:val="6CF7043C"/>
    <w:rsid w:val="6D2A0846"/>
    <w:rsid w:val="6D325528"/>
    <w:rsid w:val="6D8D1A6E"/>
    <w:rsid w:val="6DB53F20"/>
    <w:rsid w:val="6DD10DCF"/>
    <w:rsid w:val="6E5213B3"/>
    <w:rsid w:val="6EA469A1"/>
    <w:rsid w:val="6EB65D2A"/>
    <w:rsid w:val="6EB8754C"/>
    <w:rsid w:val="6EE001E9"/>
    <w:rsid w:val="6F01172C"/>
    <w:rsid w:val="6F6C53DE"/>
    <w:rsid w:val="6F6D3A44"/>
    <w:rsid w:val="6F862804"/>
    <w:rsid w:val="6FB17486"/>
    <w:rsid w:val="6FD3129E"/>
    <w:rsid w:val="6FD664C3"/>
    <w:rsid w:val="70785D38"/>
    <w:rsid w:val="707A2142"/>
    <w:rsid w:val="70854692"/>
    <w:rsid w:val="70885C1F"/>
    <w:rsid w:val="70B53175"/>
    <w:rsid w:val="70D0112A"/>
    <w:rsid w:val="711C66C3"/>
    <w:rsid w:val="71341AF3"/>
    <w:rsid w:val="71496A24"/>
    <w:rsid w:val="716C2D50"/>
    <w:rsid w:val="71FB4EB1"/>
    <w:rsid w:val="7205475B"/>
    <w:rsid w:val="720A0340"/>
    <w:rsid w:val="721E387A"/>
    <w:rsid w:val="72A064C7"/>
    <w:rsid w:val="72A20695"/>
    <w:rsid w:val="736B3932"/>
    <w:rsid w:val="737F171E"/>
    <w:rsid w:val="73962472"/>
    <w:rsid w:val="73C551CB"/>
    <w:rsid w:val="744C5512"/>
    <w:rsid w:val="74504A30"/>
    <w:rsid w:val="74EA0BEF"/>
    <w:rsid w:val="75650A49"/>
    <w:rsid w:val="7567210A"/>
    <w:rsid w:val="75805223"/>
    <w:rsid w:val="75B16087"/>
    <w:rsid w:val="75BC2223"/>
    <w:rsid w:val="75DF47B8"/>
    <w:rsid w:val="761F3A6D"/>
    <w:rsid w:val="76372873"/>
    <w:rsid w:val="76685904"/>
    <w:rsid w:val="76907DB8"/>
    <w:rsid w:val="76E6034D"/>
    <w:rsid w:val="76EF12FF"/>
    <w:rsid w:val="76F63603"/>
    <w:rsid w:val="771777BA"/>
    <w:rsid w:val="773F65DA"/>
    <w:rsid w:val="77427C89"/>
    <w:rsid w:val="77D27E2C"/>
    <w:rsid w:val="77EB4989"/>
    <w:rsid w:val="78236589"/>
    <w:rsid w:val="78C37D6C"/>
    <w:rsid w:val="78E31546"/>
    <w:rsid w:val="78F14EC9"/>
    <w:rsid w:val="790B2EC7"/>
    <w:rsid w:val="79110BE1"/>
    <w:rsid w:val="795C6ED6"/>
    <w:rsid w:val="7AA52366"/>
    <w:rsid w:val="7B18766F"/>
    <w:rsid w:val="7B353C3B"/>
    <w:rsid w:val="7B3663C9"/>
    <w:rsid w:val="7B51340D"/>
    <w:rsid w:val="7B533E97"/>
    <w:rsid w:val="7BE92BFD"/>
    <w:rsid w:val="7BF10415"/>
    <w:rsid w:val="7C1F2F07"/>
    <w:rsid w:val="7C4D3EC0"/>
    <w:rsid w:val="7C4E4CB6"/>
    <w:rsid w:val="7C5C02BC"/>
    <w:rsid w:val="7C71249F"/>
    <w:rsid w:val="7C8733FE"/>
    <w:rsid w:val="7CD346B5"/>
    <w:rsid w:val="7CED61AC"/>
    <w:rsid w:val="7D1405FF"/>
    <w:rsid w:val="7DE7748B"/>
    <w:rsid w:val="7DE85799"/>
    <w:rsid w:val="7DF52ED2"/>
    <w:rsid w:val="7DFD627A"/>
    <w:rsid w:val="7ECB2395"/>
    <w:rsid w:val="7EDB389F"/>
    <w:rsid w:val="7FAD8753"/>
    <w:rsid w:val="7FC0596A"/>
    <w:rsid w:val="7FC41BFC"/>
    <w:rsid w:val="7FE7BB1A"/>
    <w:rsid w:val="7FEDD78E"/>
    <w:rsid w:val="995FA034"/>
    <w:rsid w:val="B5EE74C1"/>
    <w:rsid w:val="B9F1A54F"/>
    <w:rsid w:val="BBF7E7FB"/>
    <w:rsid w:val="BD7B1956"/>
    <w:rsid w:val="BD9E4A53"/>
    <w:rsid w:val="DB6E4BD5"/>
    <w:rsid w:val="DBFDC3D3"/>
    <w:rsid w:val="DDFF2A61"/>
    <w:rsid w:val="DEBF15BF"/>
    <w:rsid w:val="E6373D60"/>
    <w:rsid w:val="EFF5BA9E"/>
    <w:rsid w:val="EFFF694A"/>
    <w:rsid w:val="F9F7B238"/>
    <w:rsid w:val="FEBEBE95"/>
    <w:rsid w:val="FFF4F9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1"/>
      <w:szCs w:val="24"/>
      <w:lang w:val="en-US" w:eastAsia="zh-CN" w:bidi="ar-SA"/>
    </w:rPr>
  </w:style>
  <w:style w:type="paragraph" w:styleId="2">
    <w:name w:val="heading 1"/>
    <w:basedOn w:val="1"/>
    <w:next w:val="1"/>
    <w:link w:val="64"/>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9"/>
    <w:pPr>
      <w:tabs>
        <w:tab w:val="left" w:pos="425"/>
        <w:tab w:val="left" w:pos="851"/>
      </w:tabs>
      <w:outlineLvl w:val="1"/>
    </w:pPr>
    <w:rPr>
      <w:b/>
      <w:bCs/>
      <w:szCs w:val="21"/>
    </w:rPr>
  </w:style>
  <w:style w:type="paragraph" w:styleId="4">
    <w:name w:val="heading 3"/>
    <w:basedOn w:val="1"/>
    <w:next w:val="1"/>
    <w:link w:val="66"/>
    <w:qFormat/>
    <w:uiPriority w:val="0"/>
    <w:pPr>
      <w:keepNext/>
      <w:keepLines/>
      <w:spacing w:before="260" w:after="260" w:line="415" w:lineRule="auto"/>
      <w:ind w:firstLine="137" w:firstLineChars="49"/>
      <w:outlineLvl w:val="2"/>
    </w:pPr>
    <w:rPr>
      <w:rFonts w:ascii="黑体" w:eastAsia="黑体"/>
      <w:bCs/>
      <w:sz w:val="28"/>
      <w:szCs w:val="28"/>
    </w:rPr>
  </w:style>
  <w:style w:type="paragraph" w:styleId="5">
    <w:name w:val="heading 4"/>
    <w:basedOn w:val="1"/>
    <w:next w:val="1"/>
    <w:link w:val="67"/>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8"/>
    <w:qFormat/>
    <w:uiPriority w:val="0"/>
    <w:pPr>
      <w:keepNext/>
      <w:keepLines/>
      <w:widowControl/>
      <w:wordWrap w:val="0"/>
      <w:topLinePunct/>
      <w:adjustRightInd w:val="0"/>
      <w:snapToGrid w:val="0"/>
      <w:spacing w:before="280" w:after="290" w:afterLines="50" w:line="376" w:lineRule="auto"/>
      <w:ind w:left="992" w:hanging="992" w:firstLineChars="200"/>
      <w:outlineLvl w:val="4"/>
    </w:pPr>
    <w:rPr>
      <w:b/>
      <w:bCs/>
      <w:kern w:val="0"/>
      <w:sz w:val="28"/>
      <w:szCs w:val="28"/>
    </w:rPr>
  </w:style>
  <w:style w:type="paragraph" w:styleId="7">
    <w:name w:val="heading 6"/>
    <w:basedOn w:val="1"/>
    <w:next w:val="1"/>
    <w:link w:val="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7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7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eastAsia="en-US"/>
    </w:rPr>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link w:val="73"/>
    <w:qFormat/>
    <w:uiPriority w:val="0"/>
    <w:pPr>
      <w:ind w:firstLine="420" w:firstLineChars="200"/>
    </w:pPr>
  </w:style>
  <w:style w:type="paragraph" w:styleId="13">
    <w:name w:val="caption"/>
    <w:basedOn w:val="1"/>
    <w:next w:val="1"/>
    <w:qFormat/>
    <w:uiPriority w:val="35"/>
    <w:pPr>
      <w:ind w:firstLine="200" w:firstLineChars="200"/>
    </w:pPr>
    <w:rPr>
      <w:rFonts w:ascii="Calibri" w:hAnsi="Calibri"/>
      <w:b/>
      <w:bCs/>
      <w:color w:val="2DA2BF"/>
      <w:sz w:val="18"/>
      <w:szCs w:val="18"/>
    </w:rPr>
  </w:style>
  <w:style w:type="paragraph" w:styleId="14">
    <w:name w:val="Document Map"/>
    <w:basedOn w:val="1"/>
    <w:link w:val="74"/>
    <w:qFormat/>
    <w:uiPriority w:val="99"/>
    <w:pPr>
      <w:shd w:val="clear" w:color="auto" w:fill="000080"/>
    </w:pPr>
    <w:rPr>
      <w:rFonts w:asciiTheme="minorHAnsi" w:hAnsiTheme="minorHAnsi" w:cstheme="minorBidi"/>
    </w:rPr>
  </w:style>
  <w:style w:type="paragraph" w:styleId="15">
    <w:name w:val="toa heading"/>
    <w:basedOn w:val="1"/>
    <w:next w:val="1"/>
    <w:qFormat/>
    <w:uiPriority w:val="0"/>
    <w:pPr>
      <w:spacing w:before="120" w:line="240" w:lineRule="auto"/>
    </w:pPr>
    <w:rPr>
      <w:rFonts w:ascii="仿宋_GB2312" w:hAnsi="仿宋_GB2312" w:cs="仿宋_GB2312"/>
      <w:sz w:val="24"/>
    </w:rPr>
  </w:style>
  <w:style w:type="paragraph" w:styleId="16">
    <w:name w:val="annotation text"/>
    <w:basedOn w:val="1"/>
    <w:link w:val="75"/>
    <w:qFormat/>
    <w:uiPriority w:val="99"/>
    <w:pPr>
      <w:jc w:val="left"/>
    </w:pPr>
    <w:rPr>
      <w:rFonts w:asciiTheme="minorHAnsi" w:hAnsiTheme="minorHAnsi" w:cstheme="minorBidi"/>
    </w:rPr>
  </w:style>
  <w:style w:type="paragraph" w:styleId="17">
    <w:name w:val="Body Text 3"/>
    <w:basedOn w:val="1"/>
    <w:link w:val="76"/>
    <w:qFormat/>
    <w:uiPriority w:val="99"/>
    <w:rPr>
      <w:rFonts w:hAnsiTheme="minorHAnsi" w:eastAsiaTheme="minorEastAsia" w:cstheme="minorBidi"/>
      <w:sz w:val="24"/>
      <w:szCs w:val="22"/>
    </w:rPr>
  </w:style>
  <w:style w:type="paragraph" w:styleId="18">
    <w:name w:val="Body Text"/>
    <w:basedOn w:val="1"/>
    <w:link w:val="62"/>
    <w:qFormat/>
    <w:uiPriority w:val="99"/>
    <w:pPr>
      <w:spacing w:after="120"/>
    </w:pPr>
    <w:rPr>
      <w:rFonts w:asciiTheme="minorHAnsi" w:hAnsiTheme="minorHAnsi" w:cstheme="minorBidi"/>
    </w:rPr>
  </w:style>
  <w:style w:type="paragraph" w:styleId="19">
    <w:name w:val="Body Text Indent"/>
    <w:basedOn w:val="1"/>
    <w:next w:val="1"/>
    <w:link w:val="77"/>
    <w:qFormat/>
    <w:uiPriority w:val="0"/>
    <w:pPr>
      <w:spacing w:after="120"/>
      <w:ind w:left="420" w:leftChars="200"/>
    </w:pPr>
  </w:style>
  <w:style w:type="paragraph" w:styleId="20">
    <w:name w:val="toc 5"/>
    <w:basedOn w:val="1"/>
    <w:next w:val="1"/>
    <w:qFormat/>
    <w:uiPriority w:val="39"/>
    <w:pPr>
      <w:ind w:left="840"/>
      <w:jc w:val="left"/>
    </w:pPr>
    <w:rPr>
      <w:sz w:val="18"/>
      <w:szCs w:val="18"/>
    </w:rPr>
  </w:style>
  <w:style w:type="paragraph" w:styleId="21">
    <w:name w:val="toc 3"/>
    <w:basedOn w:val="1"/>
    <w:next w:val="1"/>
    <w:link w:val="78"/>
    <w:qFormat/>
    <w:uiPriority w:val="39"/>
    <w:pPr>
      <w:ind w:left="420"/>
      <w:jc w:val="left"/>
    </w:pPr>
    <w:rPr>
      <w:iCs/>
      <w:sz w:val="20"/>
      <w:szCs w:val="20"/>
    </w:rPr>
  </w:style>
  <w:style w:type="paragraph" w:styleId="22">
    <w:name w:val="Plain Text"/>
    <w:link w:val="79"/>
    <w:qFormat/>
    <w:uiPriority w:val="99"/>
    <w:pPr>
      <w:adjustRightInd w:val="0"/>
      <w:snapToGrid w:val="0"/>
      <w:spacing w:after="120" w:afterLines="50" w:line="360" w:lineRule="auto"/>
      <w:jc w:val="both"/>
    </w:pPr>
    <w:rPr>
      <w:rFonts w:ascii="宋体" w:hAnsi="宋体" w:cs="宋体" w:eastAsiaTheme="minorEastAsia"/>
      <w:kern w:val="2"/>
      <w:sz w:val="24"/>
      <w:szCs w:val="24"/>
      <w:lang w:val="en-US" w:eastAsia="zh-CN" w:bidi="ar-SA"/>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80"/>
    <w:qFormat/>
    <w:uiPriority w:val="0"/>
    <w:rPr>
      <w:rFonts w:asciiTheme="minorHAnsi" w:hAnsiTheme="minorHAnsi" w:eastAsiaTheme="minorEastAsia" w:cstheme="minorBidi"/>
      <w:sz w:val="24"/>
      <w:szCs w:val="22"/>
    </w:rPr>
  </w:style>
  <w:style w:type="paragraph" w:styleId="25">
    <w:name w:val="Body Text Indent 2"/>
    <w:basedOn w:val="1"/>
    <w:link w:val="81"/>
    <w:qFormat/>
    <w:uiPriority w:val="0"/>
    <w:pPr>
      <w:spacing w:after="120" w:line="480" w:lineRule="auto"/>
      <w:ind w:left="420" w:leftChars="200"/>
    </w:pPr>
  </w:style>
  <w:style w:type="paragraph" w:styleId="26">
    <w:name w:val="Balloon Text"/>
    <w:basedOn w:val="1"/>
    <w:link w:val="82"/>
    <w:qFormat/>
    <w:uiPriority w:val="99"/>
    <w:rPr>
      <w:rFonts w:asciiTheme="minorHAnsi" w:hAnsiTheme="minorHAnsi" w:eastAsiaTheme="minorEastAsia" w:cstheme="minorBidi"/>
      <w:sz w:val="18"/>
      <w:szCs w:val="18"/>
    </w:rPr>
  </w:style>
  <w:style w:type="paragraph" w:styleId="27">
    <w:name w:val="footer"/>
    <w:basedOn w:val="1"/>
    <w:link w:val="83"/>
    <w:qFormat/>
    <w:uiPriority w:val="99"/>
    <w:pPr>
      <w:tabs>
        <w:tab w:val="center" w:pos="4153"/>
        <w:tab w:val="right" w:pos="8306"/>
      </w:tabs>
      <w:snapToGrid w:val="0"/>
      <w:jc w:val="left"/>
    </w:pPr>
    <w:rPr>
      <w:rFonts w:asciiTheme="minorHAnsi" w:hAnsiTheme="minorHAnsi" w:cstheme="minorBidi"/>
      <w:sz w:val="18"/>
      <w:szCs w:val="18"/>
    </w:rPr>
  </w:style>
  <w:style w:type="paragraph" w:styleId="28">
    <w:name w:val="header"/>
    <w:basedOn w:val="1"/>
    <w:link w:val="84"/>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index heading"/>
    <w:basedOn w:val="1"/>
    <w:next w:val="32"/>
    <w:qFormat/>
    <w:uiPriority w:val="0"/>
    <w:pPr>
      <w:ind w:firstLine="560" w:firstLineChars="200"/>
    </w:pPr>
    <w:rPr>
      <w:rFonts w:cs="宋体"/>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Subtitle"/>
    <w:next w:val="1"/>
    <w:link w:val="85"/>
    <w:qFormat/>
    <w:uiPriority w:val="11"/>
    <w:pPr>
      <w:adjustRightInd w:val="0"/>
      <w:snapToGrid w:val="0"/>
      <w:ind w:left="708" w:leftChars="295"/>
      <w:outlineLvl w:val="1"/>
    </w:pPr>
    <w:rPr>
      <w:rFonts w:ascii="宋体" w:hAnsi="宋体" w:eastAsiaTheme="minorEastAsia" w:cstheme="minorBidi"/>
      <w:b/>
      <w:bCs/>
      <w:kern w:val="28"/>
      <w:sz w:val="24"/>
      <w:szCs w:val="32"/>
      <w:lang w:val="en-US" w:eastAsia="zh-CN" w:bidi="ar-SA"/>
    </w:rPr>
  </w:style>
  <w:style w:type="paragraph" w:styleId="34">
    <w:name w:val="footnote text"/>
    <w:basedOn w:val="1"/>
    <w:link w:val="86"/>
    <w:qFormat/>
    <w:uiPriority w:val="99"/>
    <w:pPr>
      <w:numPr>
        <w:ilvl w:val="1"/>
        <w:numId w:val="1"/>
      </w:numPr>
      <w:snapToGrid w:val="0"/>
      <w:spacing w:line="240" w:lineRule="auto"/>
      <w:jc w:val="left"/>
    </w:pPr>
    <w:rPr>
      <w:rFonts w:ascii="Calibri" w:hAnsi="Calibri" w:cs="Arial"/>
      <w:sz w:val="18"/>
      <w:szCs w:val="1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7"/>
    <w:qFormat/>
    <w:uiPriority w:val="0"/>
    <w:pPr>
      <w:spacing w:after="120"/>
      <w:ind w:left="420" w:leftChars="200"/>
    </w:pPr>
    <w:rPr>
      <w:sz w:val="16"/>
      <w:szCs w:val="16"/>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8"/>
    <w:unhideWhenUsed/>
    <w:qFormat/>
    <w:uiPriority w:val="99"/>
    <w:pPr>
      <w:widowControl/>
      <w:wordWrap w:val="0"/>
      <w:topLinePunct/>
      <w:adjustRightInd w:val="0"/>
      <w:snapToGrid w:val="0"/>
      <w:spacing w:after="120" w:afterLines="50" w:line="480" w:lineRule="auto"/>
      <w:ind w:firstLine="480" w:firstLineChars="200"/>
    </w:pPr>
    <w:rPr>
      <w:rFonts w:ascii="Calibri" w:hAnsi="Calibri" w:eastAsiaTheme="minorEastAsia" w:cstheme="minorBidi"/>
      <w:sz w:val="24"/>
      <w:szCs w:val="22"/>
    </w:rPr>
  </w:style>
  <w:style w:type="paragraph" w:styleId="40">
    <w:name w:val="HTML Preformatted"/>
    <w:basedOn w:val="1"/>
    <w:link w:val="8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spacing w:line="240" w:lineRule="auto"/>
      <w:jc w:val="left"/>
    </w:pPr>
    <w:rPr>
      <w:rFonts w:cs="宋体" w:eastAsiaTheme="minorEastAsia"/>
      <w:sz w:val="24"/>
    </w:rPr>
  </w:style>
  <w:style w:type="paragraph" w:styleId="41">
    <w:name w:val="Normal (Web)"/>
    <w:basedOn w:val="1"/>
    <w:qFormat/>
    <w:uiPriority w:val="99"/>
    <w:pPr>
      <w:spacing w:before="100" w:beforeAutospacing="1" w:after="100" w:afterAutospacing="1"/>
      <w:jc w:val="left"/>
    </w:pPr>
    <w:rPr>
      <w:kern w:val="0"/>
      <w:sz w:val="24"/>
    </w:rPr>
  </w:style>
  <w:style w:type="paragraph" w:styleId="42">
    <w:name w:val="Title"/>
    <w:basedOn w:val="1"/>
    <w:link w:val="9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91"/>
    <w:qFormat/>
    <w:uiPriority w:val="99"/>
    <w:pPr>
      <w:jc w:val="both"/>
    </w:pPr>
    <w:rPr>
      <w:b/>
      <w:bCs/>
    </w:rPr>
  </w:style>
  <w:style w:type="paragraph" w:styleId="44">
    <w:name w:val="Body Text First Indent"/>
    <w:basedOn w:val="18"/>
    <w:link w:val="63"/>
    <w:qFormat/>
    <w:uiPriority w:val="99"/>
    <w:pPr>
      <w:spacing w:line="312" w:lineRule="auto"/>
      <w:ind w:firstLine="420"/>
    </w:pPr>
    <w:rPr>
      <w:rFonts w:eastAsiaTheme="minorEastAsia"/>
      <w:szCs w:val="22"/>
    </w:rPr>
  </w:style>
  <w:style w:type="paragraph" w:styleId="45">
    <w:name w:val="Body Text First Indent 2"/>
    <w:basedOn w:val="19"/>
    <w:next w:val="1"/>
    <w:link w:val="92"/>
    <w:qFormat/>
    <w:uiPriority w:val="99"/>
    <w:pPr>
      <w:spacing w:after="0"/>
      <w:ind w:left="0" w:leftChars="0" w:firstLine="200" w:firstLineChars="200"/>
    </w:pPr>
    <w:rPr>
      <w:rFonts w:eastAsiaTheme="minorEastAsia" w:cstheme="minorBidi"/>
    </w:rPr>
  </w:style>
  <w:style w:type="table" w:styleId="47">
    <w:name w:val="Table Grid"/>
    <w:basedOn w:val="4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rPr>
  </w:style>
  <w:style w:type="character" w:styleId="50">
    <w:name w:val="page number"/>
    <w:qFormat/>
    <w:uiPriority w:val="0"/>
  </w:style>
  <w:style w:type="character" w:styleId="51">
    <w:name w:val="FollowedHyperlink"/>
    <w:qFormat/>
    <w:uiPriority w:val="99"/>
    <w:rPr>
      <w:color w:val="535353"/>
      <w:u w:val="none"/>
    </w:rPr>
  </w:style>
  <w:style w:type="character" w:styleId="52">
    <w:name w:val="Emphasis"/>
    <w:qFormat/>
    <w:uiPriority w:val="20"/>
  </w:style>
  <w:style w:type="character" w:styleId="53">
    <w:name w:val="HTML Definition"/>
    <w:qFormat/>
    <w:uiPriority w:val="0"/>
  </w:style>
  <w:style w:type="character" w:styleId="54">
    <w:name w:val="HTML Variable"/>
    <w:qFormat/>
    <w:uiPriority w:val="0"/>
  </w:style>
  <w:style w:type="character" w:styleId="55">
    <w:name w:val="Hyperlink"/>
    <w:qFormat/>
    <w:uiPriority w:val="99"/>
    <w:rPr>
      <w:color w:val="535353"/>
      <w:u w:val="none"/>
    </w:rPr>
  </w:style>
  <w:style w:type="character" w:styleId="56">
    <w:name w:val="HTML Code"/>
    <w:qFormat/>
    <w:uiPriority w:val="0"/>
    <w:rPr>
      <w:rFonts w:hint="default"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style>
  <w:style w:type="character" w:styleId="59">
    <w:name w:val="footnote reference"/>
    <w:qFormat/>
    <w:uiPriority w:val="0"/>
    <w:rPr>
      <w:vertAlign w:val="superscript"/>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hint="default" w:ascii="Courier New" w:hAnsi="Courier New" w:eastAsia="Courier New" w:cs="Courier New"/>
    </w:rPr>
  </w:style>
  <w:style w:type="character" w:customStyle="1" w:styleId="62">
    <w:name w:val="正文文本 字符2"/>
    <w:link w:val="18"/>
    <w:qFormat/>
    <w:uiPriority w:val="0"/>
    <w:rPr>
      <w:rFonts w:eastAsia="宋体"/>
      <w:szCs w:val="24"/>
    </w:rPr>
  </w:style>
  <w:style w:type="character" w:customStyle="1" w:styleId="63">
    <w:name w:val="正文首行缩进 字符"/>
    <w:link w:val="44"/>
    <w:qFormat/>
    <w:uiPriority w:val="0"/>
  </w:style>
  <w:style w:type="character" w:customStyle="1" w:styleId="64">
    <w:name w:val="标题 1 字符2"/>
    <w:basedOn w:val="48"/>
    <w:link w:val="2"/>
    <w:qFormat/>
    <w:uiPriority w:val="9"/>
    <w:rPr>
      <w:rFonts w:ascii="Times New Roman" w:hAnsi="Times New Roman" w:eastAsia="宋体" w:cs="Times New Roman"/>
      <w:b/>
      <w:bCs/>
      <w:kern w:val="44"/>
      <w:sz w:val="44"/>
      <w:szCs w:val="44"/>
    </w:rPr>
  </w:style>
  <w:style w:type="character" w:customStyle="1" w:styleId="65">
    <w:name w:val="标题 2 字符"/>
    <w:basedOn w:val="48"/>
    <w:link w:val="3"/>
    <w:qFormat/>
    <w:uiPriority w:val="9"/>
    <w:rPr>
      <w:rFonts w:ascii="宋体" w:hAnsi="宋体"/>
      <w:b/>
      <w:bCs/>
      <w:kern w:val="2"/>
      <w:sz w:val="21"/>
      <w:szCs w:val="21"/>
    </w:rPr>
  </w:style>
  <w:style w:type="character" w:customStyle="1" w:styleId="66">
    <w:name w:val="标题 3 字符2"/>
    <w:basedOn w:val="48"/>
    <w:link w:val="4"/>
    <w:qFormat/>
    <w:uiPriority w:val="0"/>
    <w:rPr>
      <w:rFonts w:ascii="黑体" w:hAnsi="宋体" w:eastAsia="黑体" w:cs="Times New Roman"/>
      <w:bCs/>
      <w:sz w:val="28"/>
      <w:szCs w:val="28"/>
    </w:rPr>
  </w:style>
  <w:style w:type="character" w:customStyle="1" w:styleId="67">
    <w:name w:val="标题 4 字符"/>
    <w:basedOn w:val="48"/>
    <w:link w:val="5"/>
    <w:qFormat/>
    <w:uiPriority w:val="9"/>
    <w:rPr>
      <w:rFonts w:ascii="Arial" w:hAnsi="Arial" w:eastAsia="黑体" w:cs="Times New Roman"/>
      <w:b/>
      <w:bCs/>
      <w:sz w:val="28"/>
      <w:szCs w:val="28"/>
    </w:rPr>
  </w:style>
  <w:style w:type="character" w:customStyle="1" w:styleId="68">
    <w:name w:val="标题 5 字符2"/>
    <w:basedOn w:val="48"/>
    <w:link w:val="6"/>
    <w:qFormat/>
    <w:uiPriority w:val="0"/>
    <w:rPr>
      <w:rFonts w:ascii="宋体" w:hAnsi="宋体" w:eastAsia="宋体" w:cs="Times New Roman"/>
      <w:b/>
      <w:bCs/>
      <w:kern w:val="0"/>
      <w:sz w:val="28"/>
      <w:szCs w:val="28"/>
    </w:rPr>
  </w:style>
  <w:style w:type="character" w:customStyle="1" w:styleId="69">
    <w:name w:val="标题 6 字符2"/>
    <w:basedOn w:val="48"/>
    <w:link w:val="7"/>
    <w:qFormat/>
    <w:uiPriority w:val="0"/>
    <w:rPr>
      <w:rFonts w:ascii="Arial" w:hAnsi="Arial" w:eastAsia="黑体" w:cs="Times New Roman"/>
      <w:b/>
      <w:bCs/>
      <w:kern w:val="0"/>
      <w:sz w:val="24"/>
      <w:szCs w:val="24"/>
    </w:rPr>
  </w:style>
  <w:style w:type="character" w:customStyle="1" w:styleId="70">
    <w:name w:val="标题 7 字符2"/>
    <w:basedOn w:val="48"/>
    <w:link w:val="8"/>
    <w:qFormat/>
    <w:uiPriority w:val="0"/>
    <w:rPr>
      <w:rFonts w:ascii="Times New Roman" w:hAnsi="Times New Roman" w:eastAsia="宋体" w:cs="Times New Roman"/>
      <w:b/>
      <w:bCs/>
      <w:kern w:val="0"/>
      <w:sz w:val="24"/>
      <w:szCs w:val="24"/>
    </w:rPr>
  </w:style>
  <w:style w:type="character" w:customStyle="1" w:styleId="71">
    <w:name w:val="标题 8 字符2"/>
    <w:basedOn w:val="48"/>
    <w:link w:val="9"/>
    <w:qFormat/>
    <w:uiPriority w:val="0"/>
    <w:rPr>
      <w:rFonts w:ascii="Arial" w:hAnsi="Arial" w:eastAsia="黑体" w:cs="Times New Roman"/>
      <w:kern w:val="0"/>
      <w:sz w:val="24"/>
      <w:szCs w:val="24"/>
    </w:rPr>
  </w:style>
  <w:style w:type="character" w:customStyle="1" w:styleId="72">
    <w:name w:val="标题 9 字符2"/>
    <w:basedOn w:val="48"/>
    <w:link w:val="10"/>
    <w:qFormat/>
    <w:uiPriority w:val="0"/>
    <w:rPr>
      <w:rFonts w:ascii="Arial" w:hAnsi="Arial" w:eastAsia="黑体" w:cs="Times New Roman"/>
      <w:kern w:val="0"/>
      <w:szCs w:val="21"/>
    </w:rPr>
  </w:style>
  <w:style w:type="character" w:customStyle="1" w:styleId="73">
    <w:name w:val="正文缩进 字符"/>
    <w:link w:val="12"/>
    <w:qFormat/>
    <w:uiPriority w:val="0"/>
    <w:rPr>
      <w:rFonts w:ascii="Times New Roman" w:hAnsi="Times New Roman" w:eastAsia="宋体" w:cs="Times New Roman"/>
      <w:szCs w:val="24"/>
    </w:rPr>
  </w:style>
  <w:style w:type="character" w:customStyle="1" w:styleId="74">
    <w:name w:val="文档结构图 字符2"/>
    <w:link w:val="14"/>
    <w:qFormat/>
    <w:uiPriority w:val="99"/>
    <w:rPr>
      <w:rFonts w:eastAsia="宋体"/>
      <w:szCs w:val="24"/>
      <w:shd w:val="clear" w:color="auto" w:fill="000080"/>
    </w:rPr>
  </w:style>
  <w:style w:type="character" w:customStyle="1" w:styleId="75">
    <w:name w:val="批注文字 字符2"/>
    <w:link w:val="16"/>
    <w:qFormat/>
    <w:uiPriority w:val="0"/>
    <w:rPr>
      <w:rFonts w:eastAsia="宋体"/>
      <w:szCs w:val="24"/>
    </w:rPr>
  </w:style>
  <w:style w:type="character" w:customStyle="1" w:styleId="76">
    <w:name w:val="正文文本 3 字符2"/>
    <w:link w:val="17"/>
    <w:qFormat/>
    <w:uiPriority w:val="99"/>
    <w:rPr>
      <w:rFonts w:ascii="宋体"/>
      <w:sz w:val="24"/>
    </w:rPr>
  </w:style>
  <w:style w:type="character" w:customStyle="1" w:styleId="77">
    <w:name w:val="正文文本缩进 字符"/>
    <w:basedOn w:val="48"/>
    <w:link w:val="19"/>
    <w:qFormat/>
    <w:uiPriority w:val="0"/>
    <w:rPr>
      <w:rFonts w:ascii="Times New Roman" w:hAnsi="Times New Roman" w:eastAsia="宋体" w:cs="Times New Roman"/>
      <w:szCs w:val="24"/>
    </w:rPr>
  </w:style>
  <w:style w:type="character" w:customStyle="1" w:styleId="78">
    <w:name w:val="目录 3 字符"/>
    <w:link w:val="21"/>
    <w:qFormat/>
    <w:uiPriority w:val="39"/>
    <w:rPr>
      <w:rFonts w:ascii="Times New Roman" w:hAnsi="Times New Roman" w:eastAsia="宋体" w:cs="Times New Roman"/>
      <w:iCs/>
      <w:sz w:val="20"/>
      <w:szCs w:val="20"/>
    </w:rPr>
  </w:style>
  <w:style w:type="character" w:customStyle="1" w:styleId="79">
    <w:name w:val="纯文本 字符2"/>
    <w:link w:val="22"/>
    <w:qFormat/>
    <w:uiPriority w:val="99"/>
    <w:rPr>
      <w:rFonts w:ascii="宋体" w:hAnsi="宋体" w:cs="宋体"/>
      <w:sz w:val="24"/>
      <w:szCs w:val="24"/>
    </w:rPr>
  </w:style>
  <w:style w:type="character" w:customStyle="1" w:styleId="80">
    <w:name w:val="日期 字符2"/>
    <w:link w:val="24"/>
    <w:qFormat/>
    <w:uiPriority w:val="0"/>
    <w:rPr>
      <w:sz w:val="24"/>
    </w:rPr>
  </w:style>
  <w:style w:type="character" w:customStyle="1" w:styleId="81">
    <w:name w:val="正文文本缩进 2 字符"/>
    <w:basedOn w:val="48"/>
    <w:link w:val="25"/>
    <w:qFormat/>
    <w:uiPriority w:val="0"/>
    <w:rPr>
      <w:rFonts w:ascii="Times New Roman" w:hAnsi="Times New Roman" w:eastAsia="宋体" w:cs="Times New Roman"/>
      <w:szCs w:val="24"/>
    </w:rPr>
  </w:style>
  <w:style w:type="character" w:customStyle="1" w:styleId="82">
    <w:name w:val="批注框文本 字符2"/>
    <w:link w:val="26"/>
    <w:qFormat/>
    <w:uiPriority w:val="99"/>
    <w:rPr>
      <w:sz w:val="18"/>
      <w:szCs w:val="18"/>
    </w:rPr>
  </w:style>
  <w:style w:type="character" w:customStyle="1" w:styleId="83">
    <w:name w:val="页脚 字符2"/>
    <w:link w:val="27"/>
    <w:qFormat/>
    <w:uiPriority w:val="99"/>
    <w:rPr>
      <w:rFonts w:eastAsia="宋体"/>
      <w:sz w:val="18"/>
      <w:szCs w:val="18"/>
    </w:rPr>
  </w:style>
  <w:style w:type="character" w:customStyle="1" w:styleId="84">
    <w:name w:val="页眉 字符2"/>
    <w:link w:val="28"/>
    <w:qFormat/>
    <w:uiPriority w:val="99"/>
    <w:rPr>
      <w:rFonts w:eastAsia="宋体"/>
      <w:sz w:val="18"/>
      <w:szCs w:val="18"/>
    </w:rPr>
  </w:style>
  <w:style w:type="character" w:customStyle="1" w:styleId="85">
    <w:name w:val="副标题 字符2"/>
    <w:link w:val="33"/>
    <w:qFormat/>
    <w:uiPriority w:val="11"/>
    <w:rPr>
      <w:rFonts w:ascii="宋体" w:hAnsi="宋体"/>
      <w:b/>
      <w:bCs/>
      <w:kern w:val="28"/>
      <w:sz w:val="24"/>
      <w:szCs w:val="32"/>
    </w:rPr>
  </w:style>
  <w:style w:type="character" w:customStyle="1" w:styleId="86">
    <w:name w:val="脚注文本 字符"/>
    <w:basedOn w:val="48"/>
    <w:link w:val="34"/>
    <w:qFormat/>
    <w:uiPriority w:val="99"/>
    <w:rPr>
      <w:rFonts w:ascii="Calibri" w:hAnsi="Calibri" w:eastAsia="宋体" w:cs="Arial"/>
      <w:kern w:val="2"/>
      <w:sz w:val="18"/>
      <w:szCs w:val="18"/>
    </w:rPr>
  </w:style>
  <w:style w:type="character" w:customStyle="1" w:styleId="87">
    <w:name w:val="正文文本缩进 3 字符"/>
    <w:basedOn w:val="48"/>
    <w:link w:val="36"/>
    <w:qFormat/>
    <w:uiPriority w:val="0"/>
    <w:rPr>
      <w:rFonts w:ascii="Times New Roman" w:hAnsi="Times New Roman" w:eastAsia="宋体" w:cs="Times New Roman"/>
      <w:sz w:val="16"/>
      <w:szCs w:val="16"/>
    </w:rPr>
  </w:style>
  <w:style w:type="character" w:customStyle="1" w:styleId="88">
    <w:name w:val="正文文本 2 字符2"/>
    <w:link w:val="39"/>
    <w:qFormat/>
    <w:uiPriority w:val="99"/>
    <w:rPr>
      <w:rFonts w:ascii="Calibri" w:hAnsi="Calibri"/>
      <w:sz w:val="24"/>
    </w:rPr>
  </w:style>
  <w:style w:type="character" w:customStyle="1" w:styleId="89">
    <w:name w:val="HTML 预设格式 字符2"/>
    <w:link w:val="40"/>
    <w:qFormat/>
    <w:uiPriority w:val="99"/>
    <w:rPr>
      <w:rFonts w:ascii="宋体" w:hAnsi="宋体" w:cs="宋体"/>
      <w:sz w:val="24"/>
      <w:szCs w:val="24"/>
    </w:rPr>
  </w:style>
  <w:style w:type="character" w:customStyle="1" w:styleId="90">
    <w:name w:val="标题 字符"/>
    <w:basedOn w:val="48"/>
    <w:link w:val="42"/>
    <w:qFormat/>
    <w:uiPriority w:val="0"/>
    <w:rPr>
      <w:rFonts w:ascii="Arial" w:hAnsi="Arial" w:eastAsia="宋体" w:cs="Times New Roman"/>
      <w:b/>
      <w:kern w:val="0"/>
      <w:sz w:val="32"/>
      <w:szCs w:val="20"/>
    </w:rPr>
  </w:style>
  <w:style w:type="character" w:customStyle="1" w:styleId="91">
    <w:name w:val="批注主题 字符2"/>
    <w:link w:val="43"/>
    <w:qFormat/>
    <w:uiPriority w:val="99"/>
    <w:rPr>
      <w:rFonts w:eastAsia="宋体"/>
      <w:b/>
      <w:bCs/>
      <w:szCs w:val="24"/>
    </w:rPr>
  </w:style>
  <w:style w:type="character" w:customStyle="1" w:styleId="92">
    <w:name w:val="正文首行缩进 2 字符"/>
    <w:link w:val="45"/>
    <w:qFormat/>
    <w:uiPriority w:val="99"/>
    <w:rPr>
      <w:rFonts w:ascii="宋体" w:hAnsi="宋体"/>
      <w:szCs w:val="24"/>
    </w:rPr>
  </w:style>
  <w:style w:type="character" w:customStyle="1" w:styleId="93">
    <w:name w:val="content"/>
    <w:qFormat/>
    <w:uiPriority w:val="0"/>
  </w:style>
  <w:style w:type="character" w:customStyle="1" w:styleId="94">
    <w:name w:val="纯文本 字符1"/>
    <w:qFormat/>
    <w:uiPriority w:val="0"/>
    <w:rPr>
      <w:rFonts w:ascii="宋体" w:hAnsi="Courier New" w:cs="Courier New"/>
      <w:kern w:val="2"/>
      <w:sz w:val="21"/>
      <w:szCs w:val="21"/>
    </w:rPr>
  </w:style>
  <w:style w:type="character" w:customStyle="1" w:styleId="95">
    <w:name w:val="HTML 预设格式 字符1"/>
    <w:qFormat/>
    <w:uiPriority w:val="99"/>
    <w:rPr>
      <w:rFonts w:ascii="Courier New" w:hAnsi="Courier New" w:cs="Courier New"/>
      <w:kern w:val="2"/>
    </w:rPr>
  </w:style>
  <w:style w:type="character" w:customStyle="1" w:styleId="96">
    <w:name w:val="表格 Char"/>
    <w:link w:val="97"/>
    <w:qFormat/>
    <w:uiPriority w:val="0"/>
    <w:rPr>
      <w:rFonts w:ascii="华文细黑" w:hAnsi="华文细黑"/>
    </w:rPr>
  </w:style>
  <w:style w:type="paragraph" w:customStyle="1" w:styleId="97">
    <w:name w:val="表格"/>
    <w:basedOn w:val="1"/>
    <w:link w:val="96"/>
    <w:qFormat/>
    <w:uiPriority w:val="0"/>
    <w:pPr>
      <w:jc w:val="center"/>
      <w:textAlignment w:val="center"/>
    </w:pPr>
    <w:rPr>
      <w:rFonts w:ascii="华文细黑" w:hAnsi="华文细黑" w:eastAsiaTheme="minorEastAsia" w:cstheme="minorBidi"/>
      <w:szCs w:val="22"/>
    </w:rPr>
  </w:style>
  <w:style w:type="character" w:customStyle="1" w:styleId="98">
    <w:name w:val="样式1 字符"/>
    <w:link w:val="99"/>
    <w:qFormat/>
    <w:uiPriority w:val="0"/>
    <w:rPr>
      <w:rFonts w:ascii="宋体" w:hAnsi="宋体"/>
      <w:szCs w:val="21"/>
    </w:rPr>
  </w:style>
  <w:style w:type="paragraph" w:customStyle="1" w:styleId="99">
    <w:name w:val="样式1"/>
    <w:basedOn w:val="1"/>
    <w:next w:val="5"/>
    <w:link w:val="98"/>
    <w:qFormat/>
    <w:uiPriority w:val="0"/>
    <w:pPr>
      <w:ind w:firstLine="420" w:firstLineChars="200"/>
    </w:pPr>
    <w:rPr>
      <w:rFonts w:eastAsiaTheme="minorEastAsia" w:cstheme="minorBidi"/>
      <w:szCs w:val="21"/>
    </w:rPr>
  </w:style>
  <w:style w:type="character" w:styleId="100">
    <w:name w:val="Placeholder Text"/>
    <w:unhideWhenUsed/>
    <w:qFormat/>
    <w:uiPriority w:val="99"/>
    <w:rPr>
      <w:color w:val="808080"/>
    </w:rPr>
  </w:style>
  <w:style w:type="character" w:customStyle="1" w:styleId="101">
    <w:name w:val="current"/>
    <w:qFormat/>
    <w:uiPriority w:val="0"/>
    <w:rPr>
      <w:b/>
      <w:color w:val="FFFFFF"/>
      <w:shd w:val="clear" w:color="auto" w:fill="00AAEE"/>
    </w:rPr>
  </w:style>
  <w:style w:type="character" w:customStyle="1" w:styleId="102">
    <w:name w:val="lmbt3"/>
    <w:qFormat/>
    <w:uiPriority w:val="0"/>
    <w:rPr>
      <w:color w:val="1288D4"/>
    </w:rPr>
  </w:style>
  <w:style w:type="character" w:customStyle="1" w:styleId="103">
    <w:name w:val="副标题 字符1"/>
    <w:qFormat/>
    <w:uiPriority w:val="0"/>
    <w:rPr>
      <w:rFonts w:ascii="等线 Light" w:hAnsi="等线 Light" w:cs="Times New Roman"/>
      <w:b/>
      <w:bCs/>
      <w:kern w:val="28"/>
      <w:sz w:val="32"/>
      <w:szCs w:val="32"/>
    </w:rPr>
  </w:style>
  <w:style w:type="character" w:customStyle="1" w:styleId="104">
    <w:name w:val="lmbt2"/>
    <w:qFormat/>
    <w:uiPriority w:val="0"/>
  </w:style>
  <w:style w:type="character" w:customStyle="1" w:styleId="105">
    <w:name w:val="refer-count"/>
    <w:qFormat/>
    <w:uiPriority w:val="0"/>
  </w:style>
  <w:style w:type="character" w:customStyle="1" w:styleId="106">
    <w:name w:val="lmbt4"/>
    <w:qFormat/>
    <w:uiPriority w:val="0"/>
    <w:rPr>
      <w:color w:val="D11212"/>
    </w:rPr>
  </w:style>
  <w:style w:type="character" w:customStyle="1" w:styleId="107">
    <w:name w:val="未处理的提及3"/>
    <w:unhideWhenUsed/>
    <w:qFormat/>
    <w:uiPriority w:val="99"/>
    <w:rPr>
      <w:color w:val="605E5C"/>
      <w:shd w:val="clear" w:color="auto" w:fill="E1DFDD"/>
    </w:rPr>
  </w:style>
  <w:style w:type="character" w:customStyle="1" w:styleId="108">
    <w:name w:val="first-child"/>
    <w:qFormat/>
    <w:uiPriority w:val="0"/>
  </w:style>
  <w:style w:type="character" w:customStyle="1" w:styleId="109">
    <w:name w:val="fontstrikethrough"/>
    <w:qFormat/>
    <w:uiPriority w:val="0"/>
    <w:rPr>
      <w:strike/>
    </w:rPr>
  </w:style>
  <w:style w:type="character" w:customStyle="1" w:styleId="110">
    <w:name w:val="info"/>
    <w:qFormat/>
    <w:uiPriority w:val="0"/>
    <w:rPr>
      <w:color w:val="555555"/>
    </w:rPr>
  </w:style>
  <w:style w:type="character" w:customStyle="1" w:styleId="111">
    <w:name w:val="search-in-page-highlight-item"/>
    <w:qFormat/>
    <w:uiPriority w:val="0"/>
  </w:style>
  <w:style w:type="character" w:customStyle="1" w:styleId="112">
    <w:name w:val="未处理的提及1"/>
    <w:unhideWhenUsed/>
    <w:qFormat/>
    <w:uiPriority w:val="99"/>
    <w:rPr>
      <w:color w:val="605E5C"/>
      <w:shd w:val="clear" w:color="auto" w:fill="E1DFDD"/>
    </w:rPr>
  </w:style>
  <w:style w:type="character" w:customStyle="1" w:styleId="113">
    <w:name w:val="lmbt1"/>
    <w:qFormat/>
    <w:uiPriority w:val="0"/>
    <w:rPr>
      <w:color w:val="59197D"/>
    </w:rPr>
  </w:style>
  <w:style w:type="character" w:customStyle="1" w:styleId="114">
    <w:name w:val="hover49"/>
    <w:qFormat/>
    <w:uiPriority w:val="0"/>
    <w:rPr>
      <w:color w:val="D11212"/>
    </w:rPr>
  </w:style>
  <w:style w:type="character" w:customStyle="1" w:styleId="115">
    <w:name w:val="before3"/>
    <w:qFormat/>
    <w:uiPriority w:val="0"/>
    <w:rPr>
      <w:color w:val="222222"/>
      <w:sz w:val="22"/>
      <w:szCs w:val="22"/>
    </w:rPr>
  </w:style>
  <w:style w:type="character" w:customStyle="1" w:styleId="116">
    <w:name w:val="未处理的提及2"/>
    <w:unhideWhenUsed/>
    <w:qFormat/>
    <w:uiPriority w:val="99"/>
    <w:rPr>
      <w:color w:val="605E5C"/>
      <w:shd w:val="clear" w:color="auto" w:fill="E1DFDD"/>
    </w:rPr>
  </w:style>
  <w:style w:type="character" w:customStyle="1" w:styleId="117">
    <w:name w:val="font161"/>
    <w:qFormat/>
    <w:uiPriority w:val="0"/>
    <w:rPr>
      <w:b/>
      <w:bCs/>
      <w:sz w:val="32"/>
      <w:szCs w:val="32"/>
    </w:rPr>
  </w:style>
  <w:style w:type="character" w:customStyle="1" w:styleId="118">
    <w:name w:val="layui-layer-tabnow"/>
    <w:qFormat/>
    <w:uiPriority w:val="0"/>
    <w:rPr>
      <w:bdr w:val="single" w:color="CCCCCC" w:sz="4" w:space="0"/>
      <w:shd w:val="clear" w:color="auto" w:fill="FFFFFF"/>
    </w:rPr>
  </w:style>
  <w:style w:type="character" w:customStyle="1" w:styleId="119">
    <w:name w:val="正文文本 2 字符1"/>
    <w:qFormat/>
    <w:uiPriority w:val="0"/>
    <w:rPr>
      <w:kern w:val="2"/>
      <w:sz w:val="21"/>
      <w:szCs w:val="24"/>
    </w:rPr>
  </w:style>
  <w:style w:type="character" w:customStyle="1" w:styleId="120">
    <w:name w:val="law-parenthese"/>
    <w:qFormat/>
    <w:uiPriority w:val="0"/>
  </w:style>
  <w:style w:type="character" w:customStyle="1" w:styleId="121">
    <w:name w:val="fontborder"/>
    <w:qFormat/>
    <w:uiPriority w:val="0"/>
    <w:rPr>
      <w:bdr w:val="single" w:color="000000" w:sz="4" w:space="0"/>
    </w:rPr>
  </w:style>
  <w:style w:type="character" w:customStyle="1" w:styleId="122">
    <w:name w:val="lmbt"/>
    <w:qFormat/>
    <w:uiPriority w:val="0"/>
    <w:rPr>
      <w:color w:val="EF7135"/>
    </w:rPr>
  </w:style>
  <w:style w:type="character" w:customStyle="1" w:styleId="123">
    <w:name w:val="before"/>
    <w:qFormat/>
    <w:uiPriority w:val="0"/>
    <w:rPr>
      <w:color w:val="222222"/>
      <w:sz w:val="22"/>
      <w:szCs w:val="22"/>
    </w:rPr>
  </w:style>
  <w:style w:type="character" w:customStyle="1" w:styleId="124">
    <w:name w:val="search-in-page-highlight-wrapper"/>
    <w:qFormat/>
    <w:uiPriority w:val="0"/>
  </w:style>
  <w:style w:type="character" w:customStyle="1" w:styleId="125">
    <w:name w:val="fontstyle01"/>
    <w:qFormat/>
    <w:uiPriority w:val="0"/>
    <w:rPr>
      <w:rFonts w:hint="eastAsia" w:ascii="宋体" w:hAnsi="宋体" w:eastAsia="宋体" w:cs="宋体"/>
      <w:color w:val="000000"/>
      <w:sz w:val="22"/>
      <w:szCs w:val="22"/>
    </w:rPr>
  </w:style>
  <w:style w:type="character" w:customStyle="1" w:styleId="126">
    <w:name w:val="未处理的提及21"/>
    <w:unhideWhenUsed/>
    <w:qFormat/>
    <w:uiPriority w:val="99"/>
    <w:rPr>
      <w:color w:val="605E5C"/>
      <w:shd w:val="clear" w:color="auto" w:fill="E1DFDD"/>
    </w:rPr>
  </w:style>
  <w:style w:type="character" w:customStyle="1" w:styleId="127">
    <w:name w:val="jj_tit"/>
    <w:qFormat/>
    <w:uiPriority w:val="0"/>
    <w:rPr>
      <w:rFonts w:ascii="微软雅黑" w:hAnsi="微软雅黑" w:eastAsia="微软雅黑" w:cs="微软雅黑"/>
      <w:color w:val="666666"/>
      <w:sz w:val="14"/>
      <w:szCs w:val="14"/>
    </w:rPr>
  </w:style>
  <w:style w:type="character" w:customStyle="1" w:styleId="128">
    <w:name w:val="文档结构图 Char1"/>
    <w:basedOn w:val="48"/>
    <w:qFormat/>
    <w:uiPriority w:val="99"/>
    <w:rPr>
      <w:rFonts w:ascii="Microsoft YaHei UI" w:hAnsi="Times New Roman" w:eastAsia="Microsoft YaHei UI" w:cs="Times New Roman"/>
      <w:sz w:val="18"/>
      <w:szCs w:val="18"/>
    </w:rPr>
  </w:style>
  <w:style w:type="character" w:customStyle="1" w:styleId="129">
    <w:name w:val="正文文本 2 Char1"/>
    <w:basedOn w:val="48"/>
    <w:qFormat/>
    <w:uiPriority w:val="99"/>
    <w:rPr>
      <w:rFonts w:ascii="Times New Roman" w:hAnsi="Times New Roman" w:eastAsia="宋体" w:cs="Times New Roman"/>
      <w:szCs w:val="24"/>
    </w:rPr>
  </w:style>
  <w:style w:type="character" w:customStyle="1" w:styleId="130">
    <w:name w:val="页脚 Char1"/>
    <w:basedOn w:val="48"/>
    <w:qFormat/>
    <w:uiPriority w:val="99"/>
    <w:rPr>
      <w:rFonts w:ascii="Times New Roman" w:hAnsi="Times New Roman" w:eastAsia="宋体" w:cs="Times New Roman"/>
      <w:sz w:val="18"/>
      <w:szCs w:val="18"/>
    </w:rPr>
  </w:style>
  <w:style w:type="character" w:customStyle="1" w:styleId="131">
    <w:name w:val="批注文字 Char1"/>
    <w:basedOn w:val="48"/>
    <w:qFormat/>
    <w:uiPriority w:val="99"/>
    <w:rPr>
      <w:rFonts w:ascii="Times New Roman" w:hAnsi="Times New Roman" w:eastAsia="宋体" w:cs="Times New Roman"/>
      <w:szCs w:val="24"/>
    </w:rPr>
  </w:style>
  <w:style w:type="character" w:customStyle="1" w:styleId="132">
    <w:name w:val="批注主题 Char1"/>
    <w:basedOn w:val="131"/>
    <w:qFormat/>
    <w:uiPriority w:val="99"/>
    <w:rPr>
      <w:rFonts w:ascii="Times New Roman" w:hAnsi="Times New Roman" w:eastAsia="宋体" w:cs="Times New Roman"/>
      <w:b/>
      <w:bCs/>
      <w:szCs w:val="24"/>
    </w:rPr>
  </w:style>
  <w:style w:type="character" w:customStyle="1" w:styleId="133">
    <w:name w:val="日期 Char1"/>
    <w:basedOn w:val="48"/>
    <w:qFormat/>
    <w:uiPriority w:val="99"/>
    <w:rPr>
      <w:rFonts w:ascii="Times New Roman" w:hAnsi="Times New Roman" w:eastAsia="宋体" w:cs="Times New Roman"/>
      <w:szCs w:val="24"/>
    </w:rPr>
  </w:style>
  <w:style w:type="character" w:customStyle="1" w:styleId="134">
    <w:name w:val="HTML 预设格式 Char1"/>
    <w:basedOn w:val="48"/>
    <w:qFormat/>
    <w:uiPriority w:val="99"/>
    <w:rPr>
      <w:rFonts w:ascii="Courier New" w:hAnsi="Courier New" w:eastAsia="宋体" w:cs="Courier New"/>
      <w:sz w:val="20"/>
      <w:szCs w:val="20"/>
    </w:rPr>
  </w:style>
  <w:style w:type="character" w:customStyle="1" w:styleId="135">
    <w:name w:val="页眉 Char1"/>
    <w:basedOn w:val="48"/>
    <w:qFormat/>
    <w:uiPriority w:val="99"/>
    <w:rPr>
      <w:rFonts w:ascii="Times New Roman" w:hAnsi="Times New Roman" w:eastAsia="宋体" w:cs="Times New Roman"/>
      <w:sz w:val="18"/>
      <w:szCs w:val="18"/>
    </w:rPr>
  </w:style>
  <w:style w:type="character" w:customStyle="1" w:styleId="136">
    <w:name w:val="正文首行缩进 2 Char1"/>
    <w:basedOn w:val="77"/>
    <w:qFormat/>
    <w:uiPriority w:val="99"/>
    <w:rPr>
      <w:rFonts w:ascii="Times New Roman" w:hAnsi="Times New Roman" w:eastAsia="宋体" w:cs="Times New Roman"/>
      <w:szCs w:val="24"/>
    </w:rPr>
  </w:style>
  <w:style w:type="character" w:customStyle="1" w:styleId="137">
    <w:name w:val="正文文本 Char1"/>
    <w:basedOn w:val="48"/>
    <w:qFormat/>
    <w:uiPriority w:val="0"/>
    <w:rPr>
      <w:rFonts w:ascii="Times New Roman" w:hAnsi="Times New Roman" w:eastAsia="宋体" w:cs="Times New Roman"/>
      <w:szCs w:val="24"/>
    </w:rPr>
  </w:style>
  <w:style w:type="character" w:customStyle="1" w:styleId="138">
    <w:name w:val="副标题 Char1"/>
    <w:basedOn w:val="48"/>
    <w:qFormat/>
    <w:uiPriority w:val="11"/>
    <w:rPr>
      <w:rFonts w:eastAsia="宋体" w:asciiTheme="majorHAnsi" w:hAnsiTheme="majorHAnsi" w:cstheme="majorBidi"/>
      <w:b/>
      <w:bCs/>
      <w:kern w:val="28"/>
      <w:sz w:val="32"/>
      <w:szCs w:val="32"/>
    </w:rPr>
  </w:style>
  <w:style w:type="character" w:customStyle="1" w:styleId="139">
    <w:name w:val="正文首行缩进 Char1"/>
    <w:basedOn w:val="137"/>
    <w:qFormat/>
    <w:uiPriority w:val="99"/>
    <w:rPr>
      <w:rFonts w:ascii="Times New Roman" w:hAnsi="Times New Roman" w:eastAsia="宋体" w:cs="Times New Roman"/>
      <w:szCs w:val="24"/>
    </w:rPr>
  </w:style>
  <w:style w:type="character" w:customStyle="1" w:styleId="140">
    <w:name w:val="批注框文本 Char1"/>
    <w:basedOn w:val="48"/>
    <w:qFormat/>
    <w:uiPriority w:val="99"/>
    <w:rPr>
      <w:rFonts w:ascii="Times New Roman" w:hAnsi="Times New Roman" w:eastAsia="宋体" w:cs="Times New Roman"/>
      <w:sz w:val="18"/>
      <w:szCs w:val="18"/>
    </w:rPr>
  </w:style>
  <w:style w:type="character" w:customStyle="1" w:styleId="141">
    <w:name w:val="纯文本 Char1"/>
    <w:basedOn w:val="48"/>
    <w:qFormat/>
    <w:uiPriority w:val="99"/>
    <w:rPr>
      <w:rFonts w:ascii="宋体" w:hAnsi="Courier New" w:eastAsia="宋体" w:cs="Courier New"/>
      <w:szCs w:val="21"/>
    </w:rPr>
  </w:style>
  <w:style w:type="character" w:customStyle="1" w:styleId="142">
    <w:name w:val="正文文本 3 Char1"/>
    <w:basedOn w:val="48"/>
    <w:qFormat/>
    <w:uiPriority w:val="99"/>
    <w:rPr>
      <w:rFonts w:ascii="Times New Roman" w:hAnsi="Times New Roman" w:eastAsia="宋体" w:cs="Times New Roman"/>
      <w:sz w:val="16"/>
      <w:szCs w:val="16"/>
    </w:rPr>
  </w:style>
  <w:style w:type="paragraph" w:customStyle="1" w:styleId="14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144">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145">
    <w:name w:val="样式8"/>
    <w:basedOn w:val="1"/>
    <w:qFormat/>
    <w:uiPriority w:val="0"/>
    <w:pPr>
      <w:widowControl/>
      <w:wordWrap w:val="0"/>
      <w:topLinePunct/>
      <w:autoSpaceDE w:val="0"/>
      <w:autoSpaceDN w:val="0"/>
      <w:adjustRightInd w:val="0"/>
      <w:spacing w:line="240" w:lineRule="auto"/>
      <w:ind w:left="1274" w:leftChars="531" w:firstLine="2"/>
    </w:pPr>
    <w:rPr>
      <w:bCs/>
      <w:kern w:val="0"/>
      <w:sz w:val="24"/>
      <w:szCs w:val="20"/>
    </w:rPr>
  </w:style>
  <w:style w:type="paragraph" w:customStyle="1" w:styleId="146">
    <w:name w:val="样式2"/>
    <w:basedOn w:val="4"/>
    <w:qFormat/>
    <w:uiPriority w:val="0"/>
    <w:rPr>
      <w:i/>
    </w:rPr>
  </w:style>
  <w:style w:type="paragraph" w:customStyle="1" w:styleId="1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48">
    <w:name w:val="专用标题2"/>
    <w:basedOn w:val="3"/>
    <w:next w:val="1"/>
    <w:qFormat/>
    <w:uiPriority w:val="0"/>
    <w:pPr>
      <w:tabs>
        <w:tab w:val="left" w:pos="993"/>
      </w:tabs>
    </w:pPr>
    <w:rPr>
      <w:rFonts w:cs="Times"/>
    </w:rPr>
  </w:style>
  <w:style w:type="paragraph" w:customStyle="1" w:styleId="149">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bCs w:val="0"/>
      <w:sz w:val="28"/>
      <w:szCs w:val="20"/>
    </w:rPr>
  </w:style>
  <w:style w:type="paragraph" w:styleId="150">
    <w:name w:val="List Paragraph"/>
    <w:basedOn w:val="1"/>
    <w:link w:val="151"/>
    <w:qFormat/>
    <w:uiPriority w:val="99"/>
    <w:pPr>
      <w:widowControl/>
      <w:numPr>
        <w:ilvl w:val="0"/>
        <w:numId w:val="2"/>
      </w:numPr>
      <w:tabs>
        <w:tab w:val="left" w:pos="993"/>
      </w:tabs>
      <w:adjustRightInd w:val="0"/>
      <w:snapToGrid w:val="0"/>
      <w:spacing w:after="120" w:afterLines="50"/>
      <w:ind w:left="0" w:firstLine="504"/>
    </w:pPr>
    <w:rPr>
      <w:rFonts w:cs="宋体"/>
      <w:kern w:val="0"/>
      <w:sz w:val="24"/>
      <w:szCs w:val="20"/>
    </w:rPr>
  </w:style>
  <w:style w:type="character" w:customStyle="1" w:styleId="151">
    <w:name w:val="列出段落 字符"/>
    <w:link w:val="150"/>
    <w:qFormat/>
    <w:uiPriority w:val="99"/>
    <w:rPr>
      <w:rFonts w:ascii="宋体" w:hAnsi="宋体" w:eastAsia="宋体" w:cs="宋体"/>
      <w:sz w:val="24"/>
    </w:rPr>
  </w:style>
  <w:style w:type="paragraph" w:customStyle="1" w:styleId="152">
    <w:name w:val="通用标题4"/>
    <w:next w:val="1"/>
    <w:qFormat/>
    <w:uiPriority w:val="0"/>
    <w:pPr>
      <w:numPr>
        <w:ilvl w:val="2"/>
        <w:numId w:val="3"/>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53">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154">
    <w:name w:val="通用标题3"/>
    <w:next w:val="1"/>
    <w:qFormat/>
    <w:uiPriority w:val="0"/>
    <w:pPr>
      <w:widowControl w:val="0"/>
      <w:numPr>
        <w:ilvl w:val="1"/>
        <w:numId w:val="3"/>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55">
    <w:name w:val="表格文字"/>
    <w:basedOn w:val="1"/>
    <w:qFormat/>
    <w:uiPriority w:val="0"/>
    <w:pPr>
      <w:adjustRightInd w:val="0"/>
      <w:spacing w:line="420" w:lineRule="atLeast"/>
      <w:jc w:val="left"/>
      <w:textAlignment w:val="baseline"/>
    </w:pPr>
    <w:rPr>
      <w:kern w:val="0"/>
      <w:szCs w:val="20"/>
    </w:rPr>
  </w:style>
  <w:style w:type="paragraph" w:customStyle="1" w:styleId="156">
    <w:name w:val="1"/>
    <w:basedOn w:val="1"/>
    <w:qFormat/>
    <w:uiPriority w:val="0"/>
  </w:style>
  <w:style w:type="paragraph" w:customStyle="1" w:styleId="15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58">
    <w:name w:val="List ALPHA CAPS 1"/>
    <w:basedOn w:val="1"/>
    <w:next w:val="18"/>
    <w:qFormat/>
    <w:uiPriority w:val="0"/>
    <w:pPr>
      <w:widowControl/>
      <w:tabs>
        <w:tab w:val="left" w:pos="22"/>
        <w:tab w:val="left" w:pos="624"/>
      </w:tabs>
      <w:wordWrap w:val="0"/>
      <w:topLinePunct/>
      <w:adjustRightInd w:val="0"/>
      <w:snapToGrid w:val="0"/>
      <w:spacing w:after="200" w:afterLines="50" w:line="288" w:lineRule="auto"/>
      <w:ind w:left="3681" w:hanging="420" w:firstLineChars="200"/>
    </w:pPr>
    <w:rPr>
      <w:rFonts w:ascii="CG Times" w:hAnsi="CG Times"/>
      <w:kern w:val="0"/>
      <w:sz w:val="22"/>
      <w:szCs w:val="20"/>
      <w:lang w:val="en-GB"/>
    </w:rPr>
  </w:style>
  <w:style w:type="paragraph" w:customStyle="1" w:styleId="159">
    <w:name w:val="through-content"/>
    <w:basedOn w:val="1"/>
    <w:qFormat/>
    <w:uiPriority w:val="0"/>
    <w:pPr>
      <w:widowControl/>
      <w:wordWrap w:val="0"/>
      <w:topLinePunct/>
      <w:spacing w:before="100" w:beforeAutospacing="1" w:after="100" w:afterAutospacing="1" w:line="240" w:lineRule="auto"/>
      <w:jc w:val="left"/>
    </w:pPr>
    <w:rPr>
      <w:rFonts w:cs="宋体"/>
      <w:kern w:val="0"/>
      <w:sz w:val="24"/>
      <w:szCs w:val="20"/>
    </w:rPr>
  </w:style>
  <w:style w:type="paragraph" w:customStyle="1" w:styleId="160">
    <w:name w:val="LIST ALPHA CAPS 2"/>
    <w:basedOn w:val="1"/>
    <w:next w:val="39"/>
    <w:qFormat/>
    <w:uiPriority w:val="0"/>
    <w:pPr>
      <w:widowControl/>
      <w:numPr>
        <w:ilvl w:val="1"/>
        <w:numId w:val="4"/>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61">
    <w:name w:val="发包人要求正文0.75"/>
    <w:basedOn w:val="1"/>
    <w:qFormat/>
    <w:uiPriority w:val="0"/>
    <w:pPr>
      <w:ind w:firstLine="426"/>
    </w:pPr>
  </w:style>
  <w:style w:type="paragraph" w:customStyle="1" w:styleId="162">
    <w:name w:val="TOC 标题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163">
    <w:name w:val="Title 5"/>
    <w:next w:val="153"/>
    <w:qFormat/>
    <w:uiPriority w:val="0"/>
    <w:pPr>
      <w:numPr>
        <w:ilvl w:val="0"/>
        <w:numId w:val="5"/>
      </w:numPr>
      <w:ind w:left="1701" w:hanging="426"/>
      <w:jc w:val="both"/>
    </w:pPr>
    <w:rPr>
      <w:rFonts w:ascii="Times New Roman" w:hAnsi="Times New Roman" w:eastAsia="宋体" w:cs="Times New Roman"/>
      <w:kern w:val="2"/>
      <w:sz w:val="24"/>
      <w:szCs w:val="24"/>
      <w:lang w:val="en-US" w:eastAsia="zh-CN" w:bidi="ar-SA"/>
    </w:rPr>
  </w:style>
  <w:style w:type="paragraph" w:customStyle="1" w:styleId="164">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65">
    <w:name w:val="通用标题6"/>
    <w:basedOn w:val="1"/>
    <w:qFormat/>
    <w:uiPriority w:val="0"/>
    <w:pPr>
      <w:numPr>
        <w:ilvl w:val="4"/>
        <w:numId w:val="6"/>
      </w:numPr>
      <w:tabs>
        <w:tab w:val="left" w:pos="993"/>
      </w:tabs>
      <w:ind w:firstLine="0"/>
    </w:pPr>
  </w:style>
  <w:style w:type="paragraph" w:customStyle="1" w:styleId="166">
    <w:name w:val="通用标题2"/>
    <w:basedOn w:val="3"/>
    <w:next w:val="1"/>
    <w:qFormat/>
    <w:uiPriority w:val="0"/>
    <w:pPr>
      <w:numPr>
        <w:ilvl w:val="0"/>
        <w:numId w:val="7"/>
      </w:numPr>
      <w:tabs>
        <w:tab w:val="left" w:pos="993"/>
      </w:tabs>
    </w:pPr>
    <w:rPr>
      <w:rFonts w:ascii="黑体" w:hAnsi="黑体"/>
    </w:rPr>
  </w:style>
  <w:style w:type="paragraph" w:customStyle="1" w:styleId="167">
    <w:name w:val="修订1"/>
    <w:qFormat/>
    <w:uiPriority w:val="99"/>
    <w:rPr>
      <w:rFonts w:ascii="Times New Roman" w:hAnsi="Times New Roman" w:eastAsia="宋体" w:cs="Times New Roman"/>
      <w:kern w:val="2"/>
      <w:sz w:val="21"/>
      <w:szCs w:val="24"/>
      <w:lang w:val="en-US" w:eastAsia="zh-CN" w:bidi="ar-SA"/>
    </w:rPr>
  </w:style>
  <w:style w:type="paragraph" w:customStyle="1" w:styleId="168">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69">
    <w:name w:val="Char1"/>
    <w:basedOn w:val="1"/>
    <w:qFormat/>
    <w:uiPriority w:val="0"/>
    <w:pPr>
      <w:tabs>
        <w:tab w:val="left" w:pos="360"/>
      </w:tabs>
    </w:pPr>
    <w:rPr>
      <w:sz w:val="24"/>
    </w:rPr>
  </w:style>
  <w:style w:type="paragraph" w:customStyle="1" w:styleId="170">
    <w:name w:val="TOC 标题2"/>
    <w:basedOn w:val="2"/>
    <w:next w:val="1"/>
    <w:qFormat/>
    <w:uiPriority w:val="0"/>
    <w:pPr>
      <w:spacing w:before="260" w:after="260" w:line="413" w:lineRule="auto"/>
    </w:pPr>
    <w:rPr>
      <w:sz w:val="36"/>
      <w:lang w:val="zh-CN"/>
    </w:rPr>
  </w:style>
  <w:style w:type="paragraph" w:customStyle="1" w:styleId="171">
    <w:name w:val="通用标题7"/>
    <w:basedOn w:val="1"/>
    <w:qFormat/>
    <w:uiPriority w:val="0"/>
    <w:pPr>
      <w:widowControl/>
      <w:numPr>
        <w:ilvl w:val="5"/>
        <w:numId w:val="6"/>
      </w:numPr>
      <w:wordWrap w:val="0"/>
      <w:topLinePunct/>
      <w:adjustRightInd w:val="0"/>
      <w:snapToGrid w:val="0"/>
      <w:spacing w:after="120" w:afterLines="50"/>
      <w:ind w:firstLine="200" w:firstLineChars="200"/>
    </w:pPr>
    <w:rPr>
      <w:kern w:val="0"/>
      <w:sz w:val="24"/>
      <w:szCs w:val="20"/>
    </w:rPr>
  </w:style>
  <w:style w:type="paragraph" w:customStyle="1" w:styleId="172">
    <w:name w:val="附件标题1"/>
    <w:next w:val="1"/>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173">
    <w:name w:val="Title 4"/>
    <w:next w:val="144"/>
    <w:qFormat/>
    <w:uiPriority w:val="0"/>
    <w:pPr>
      <w:numPr>
        <w:ilvl w:val="0"/>
        <w:numId w:val="9"/>
      </w:numPr>
      <w:ind w:left="1276" w:hanging="562"/>
      <w:jc w:val="both"/>
    </w:pPr>
    <w:rPr>
      <w:rFonts w:ascii="Times New Roman" w:hAnsi="Times New Roman" w:eastAsia="宋体" w:cs="Times New Roman"/>
      <w:kern w:val="2"/>
      <w:sz w:val="24"/>
      <w:szCs w:val="24"/>
      <w:lang w:val="en-US" w:eastAsia="zh-CN" w:bidi="ar-SA"/>
    </w:rPr>
  </w:style>
  <w:style w:type="paragraph" w:customStyle="1" w:styleId="174">
    <w:name w:val="Char"/>
    <w:basedOn w:val="1"/>
    <w:qFormat/>
    <w:uiPriority w:val="0"/>
    <w:pPr>
      <w:tabs>
        <w:tab w:val="left" w:pos="360"/>
      </w:tabs>
    </w:pPr>
    <w:rPr>
      <w:sz w:val="24"/>
    </w:rPr>
  </w:style>
  <w:style w:type="paragraph" w:customStyle="1" w:styleId="175">
    <w:name w:val="样式3"/>
    <w:next w:val="1"/>
    <w:qFormat/>
    <w:uiPriority w:val="0"/>
    <w:pPr>
      <w:ind w:left="2126"/>
    </w:pPr>
    <w:rPr>
      <w:rFonts w:ascii="Times New Roman" w:hAnsi="Times New Roman" w:eastAsia="宋体" w:cs="Times New Roman"/>
      <w:bCs/>
      <w:kern w:val="2"/>
      <w:sz w:val="24"/>
      <w:szCs w:val="24"/>
      <w:lang w:val="en-US" w:eastAsia="zh-CN" w:bidi="ar-SA"/>
    </w:rPr>
  </w:style>
  <w:style w:type="paragraph" w:customStyle="1" w:styleId="17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77">
    <w:name w:val="Default"/>
    <w:link w:val="17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8">
    <w:name w:val="Default Char"/>
    <w:link w:val="177"/>
    <w:qFormat/>
    <w:locked/>
    <w:uiPriority w:val="0"/>
    <w:rPr>
      <w:rFonts w:ascii="宋体" w:hAnsi="Times New Roman" w:eastAsia="宋体" w:cs="宋体"/>
      <w:color w:val="000000"/>
      <w:kern w:val="0"/>
      <w:sz w:val="24"/>
      <w:szCs w:val="24"/>
    </w:rPr>
  </w:style>
  <w:style w:type="paragraph" w:customStyle="1" w:styleId="179">
    <w:name w:val="专用标题4"/>
    <w:basedOn w:val="5"/>
    <w:next w:val="1"/>
    <w:qFormat/>
    <w:uiPriority w:val="0"/>
    <w:pPr>
      <w:widowControl/>
      <w:wordWrap w:val="0"/>
      <w:topLinePunct/>
      <w:adjustRightInd w:val="0"/>
      <w:snapToGrid w:val="0"/>
      <w:spacing w:before="0" w:after="120" w:afterLines="50" w:line="360" w:lineRule="auto"/>
      <w:ind w:firstLine="200" w:firstLineChars="200"/>
    </w:pPr>
    <w:rPr>
      <w:rFonts w:eastAsia="宋体"/>
      <w:b w:val="0"/>
      <w:bCs w:val="0"/>
      <w:szCs w:val="22"/>
    </w:rPr>
  </w:style>
  <w:style w:type="paragraph" w:customStyle="1" w:styleId="180">
    <w:name w:val="附件标题"/>
    <w:basedOn w:val="3"/>
    <w:next w:val="1"/>
    <w:link w:val="181"/>
    <w:qFormat/>
    <w:uiPriority w:val="0"/>
    <w:pPr>
      <w:tabs>
        <w:tab w:val="left" w:pos="1134"/>
      </w:tabs>
      <w:ind w:left="983" w:hanging="420"/>
    </w:pPr>
    <w:rPr>
      <w:rFonts w:ascii="黑体" w:hAnsi="黑体"/>
      <w:sz w:val="30"/>
      <w:szCs w:val="30"/>
    </w:rPr>
  </w:style>
  <w:style w:type="character" w:customStyle="1" w:styleId="181">
    <w:name w:val="附件标题 Char"/>
    <w:link w:val="180"/>
    <w:qFormat/>
    <w:uiPriority w:val="0"/>
    <w:rPr>
      <w:rFonts w:ascii="黑体" w:hAnsi="黑体"/>
      <w:b/>
      <w:bCs/>
      <w:kern w:val="2"/>
      <w:sz w:val="30"/>
      <w:szCs w:val="30"/>
    </w:rPr>
  </w:style>
  <w:style w:type="paragraph" w:customStyle="1" w:styleId="182">
    <w:name w:val="Char Char Char Char Char Char Char Char Char Char Char Char Char"/>
    <w:basedOn w:val="1"/>
    <w:qFormat/>
    <w:uiPriority w:val="0"/>
    <w:pPr>
      <w:spacing w:line="240" w:lineRule="auto"/>
    </w:pPr>
    <w:rPr>
      <w:sz w:val="24"/>
    </w:rPr>
  </w:style>
  <w:style w:type="paragraph" w:customStyle="1" w:styleId="183">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84">
    <w:name w:val="通用标题5"/>
    <w:qFormat/>
    <w:uiPriority w:val="0"/>
    <w:pPr>
      <w:widowControl w:val="0"/>
      <w:numPr>
        <w:ilvl w:val="3"/>
        <w:numId w:val="3"/>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85">
    <w:name w:val="专用标题3"/>
    <w:basedOn w:val="4"/>
    <w:qFormat/>
    <w:uiPriority w:val="0"/>
    <w:pPr>
      <w:widowControl/>
      <w:wordWrap w:val="0"/>
      <w:topLinePunct/>
      <w:adjustRightInd w:val="0"/>
      <w:snapToGrid w:val="0"/>
      <w:spacing w:before="0" w:after="120" w:afterLines="50" w:line="360" w:lineRule="auto"/>
      <w:ind w:firstLine="0" w:firstLineChars="0"/>
      <w:jc w:val="left"/>
    </w:pPr>
    <w:rPr>
      <w:rFonts w:ascii="宋体" w:eastAsia="宋体"/>
      <w:b/>
      <w:bCs w:val="0"/>
      <w:kern w:val="0"/>
      <w:sz w:val="24"/>
      <w:szCs w:val="20"/>
    </w:rPr>
  </w:style>
  <w:style w:type="paragraph" w:customStyle="1" w:styleId="186">
    <w:name w:val="协议书标题2"/>
    <w:basedOn w:val="3"/>
    <w:next w:val="1"/>
    <w:qFormat/>
    <w:uiPriority w:val="0"/>
    <w:pPr>
      <w:numPr>
        <w:ilvl w:val="0"/>
        <w:numId w:val="10"/>
      </w:numPr>
      <w:tabs>
        <w:tab w:val="left" w:pos="567"/>
      </w:tabs>
      <w:ind w:firstLine="0"/>
      <w:jc w:val="left"/>
    </w:pPr>
    <w:rPr>
      <w:sz w:val="24"/>
    </w:rPr>
  </w:style>
  <w:style w:type="paragraph" w:customStyle="1" w:styleId="187">
    <w:name w:val="修订11"/>
    <w:qFormat/>
    <w:uiPriority w:val="99"/>
    <w:rPr>
      <w:rFonts w:ascii="宋体" w:hAnsi="Calibri" w:eastAsia="宋体" w:cs="Times New Roman"/>
      <w:kern w:val="2"/>
      <w:sz w:val="24"/>
      <w:szCs w:val="22"/>
      <w:lang w:val="en-US" w:eastAsia="zh-CN" w:bidi="ar-SA"/>
    </w:rPr>
  </w:style>
  <w:style w:type="paragraph" w:customStyle="1" w:styleId="188">
    <w:name w:val="LIST ALPHA CAPS 3"/>
    <w:basedOn w:val="1"/>
    <w:next w:val="17"/>
    <w:qFormat/>
    <w:uiPriority w:val="0"/>
    <w:pPr>
      <w:widowControl/>
      <w:numPr>
        <w:ilvl w:val="2"/>
        <w:numId w:val="4"/>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table" w:customStyle="1" w:styleId="190">
    <w:name w:val="网格型1"/>
    <w:basedOn w:val="46"/>
    <w:qFormat/>
    <w:uiPriority w:val="39"/>
    <w:rPr>
      <w:rFonts w:ascii="Calibri" w:hAnsi="Calibri"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
    <w:name w:val="TableGrid"/>
    <w:qFormat/>
    <w:uiPriority w:val="0"/>
    <w:tblPr>
      <w:tblCellMar>
        <w:top w:w="0" w:type="dxa"/>
        <w:left w:w="0" w:type="dxa"/>
        <w:bottom w:w="0" w:type="dxa"/>
        <w:right w:w="0" w:type="dxa"/>
      </w:tblCellMar>
    </w:tblPr>
  </w:style>
  <w:style w:type="paragraph" w:customStyle="1" w:styleId="192">
    <w:name w:val="修订2"/>
    <w:qFormat/>
    <w:uiPriority w:val="99"/>
    <w:rPr>
      <w:rFonts w:ascii="Times New Roman" w:hAnsi="Times New Roman" w:eastAsia="宋体" w:cs="Times New Roman"/>
      <w:kern w:val="2"/>
      <w:sz w:val="21"/>
      <w:szCs w:val="24"/>
      <w:lang w:val="en-US" w:eastAsia="zh-CN" w:bidi="ar-SA"/>
    </w:rPr>
  </w:style>
  <w:style w:type="character" w:customStyle="1" w:styleId="193">
    <w:name w:val="正文文本首行缩进 2 字符"/>
    <w:qFormat/>
    <w:uiPriority w:val="99"/>
    <w:rPr>
      <w:kern w:val="2"/>
      <w:sz w:val="21"/>
      <w:szCs w:val="24"/>
    </w:rPr>
  </w:style>
  <w:style w:type="paragraph" w:customStyle="1" w:styleId="194">
    <w:name w:val="标题 21"/>
    <w:basedOn w:val="1"/>
    <w:next w:val="1"/>
    <w:unhideWhenUsed/>
    <w:qFormat/>
    <w:uiPriority w:val="9"/>
    <w:pPr>
      <w:keepNext/>
      <w:keepLines/>
      <w:numPr>
        <w:ilvl w:val="0"/>
        <w:numId w:val="11"/>
      </w:numPr>
      <w:spacing w:before="260" w:after="260" w:line="416" w:lineRule="auto"/>
      <w:ind w:left="0" w:firstLine="200" w:firstLineChars="200"/>
      <w:outlineLvl w:val="1"/>
    </w:pPr>
    <w:rPr>
      <w:rFonts w:ascii="Calibri Light" w:hAnsi="Calibri Light"/>
      <w:b/>
      <w:bCs/>
      <w:sz w:val="32"/>
      <w:szCs w:val="32"/>
    </w:rPr>
  </w:style>
  <w:style w:type="paragraph" w:customStyle="1" w:styleId="195">
    <w:name w:val="文档结构图1"/>
    <w:basedOn w:val="1"/>
    <w:next w:val="14"/>
    <w:qFormat/>
    <w:uiPriority w:val="99"/>
    <w:pPr>
      <w:numPr>
        <w:ilvl w:val="0"/>
        <w:numId w:val="12"/>
      </w:numPr>
      <w:shd w:val="clear" w:color="auto" w:fill="000080"/>
      <w:ind w:left="0" w:firstLine="200" w:firstLineChars="200"/>
    </w:pPr>
    <w:rPr>
      <w:rFonts w:ascii="Calibri" w:hAnsi="Calibri"/>
      <w:sz w:val="28"/>
      <w:szCs w:val="22"/>
    </w:rPr>
  </w:style>
  <w:style w:type="paragraph" w:customStyle="1" w:styleId="196">
    <w:name w:val="正文文本 31"/>
    <w:basedOn w:val="1"/>
    <w:next w:val="17"/>
    <w:unhideWhenUsed/>
    <w:qFormat/>
    <w:uiPriority w:val="99"/>
    <w:pPr>
      <w:spacing w:after="120"/>
      <w:ind w:firstLine="200" w:firstLineChars="200"/>
    </w:pPr>
    <w:rPr>
      <w:rFonts w:ascii="Calibri" w:hAnsi="Calibri"/>
      <w:sz w:val="16"/>
      <w:szCs w:val="16"/>
    </w:rPr>
  </w:style>
  <w:style w:type="paragraph" w:customStyle="1" w:styleId="197">
    <w:name w:val="目录 31"/>
    <w:basedOn w:val="1"/>
    <w:next w:val="1"/>
    <w:qFormat/>
    <w:uiPriority w:val="39"/>
    <w:pPr>
      <w:ind w:left="840" w:leftChars="400" w:firstLine="200" w:firstLineChars="200"/>
    </w:pPr>
    <w:rPr>
      <w:bCs/>
      <w:color w:val="000000"/>
      <w:spacing w:val="10"/>
      <w:sz w:val="24"/>
    </w:rPr>
  </w:style>
  <w:style w:type="paragraph" w:customStyle="1" w:styleId="198">
    <w:name w:val="纯文本1"/>
    <w:basedOn w:val="1"/>
    <w:next w:val="22"/>
    <w:link w:val="199"/>
    <w:qFormat/>
    <w:uiPriority w:val="0"/>
    <w:pPr>
      <w:ind w:firstLine="200" w:firstLineChars="200"/>
    </w:pPr>
    <w:rPr>
      <w:rFonts w:hAnsi="Courier New" w:cs="Courier New"/>
      <w:sz w:val="24"/>
      <w:szCs w:val="21"/>
    </w:rPr>
  </w:style>
  <w:style w:type="character" w:customStyle="1" w:styleId="199">
    <w:name w:val="纯文本 Char3"/>
    <w:link w:val="198"/>
    <w:qFormat/>
    <w:locked/>
    <w:uiPriority w:val="0"/>
    <w:rPr>
      <w:rFonts w:ascii="宋体" w:hAnsi="Courier New" w:eastAsia="宋体" w:cs="Courier New"/>
      <w:sz w:val="24"/>
      <w:szCs w:val="21"/>
    </w:rPr>
  </w:style>
  <w:style w:type="paragraph" w:customStyle="1" w:styleId="200">
    <w:name w:val="日期1"/>
    <w:basedOn w:val="1"/>
    <w:next w:val="1"/>
    <w:qFormat/>
    <w:uiPriority w:val="0"/>
    <w:pPr>
      <w:numPr>
        <w:ilvl w:val="3"/>
        <w:numId w:val="1"/>
      </w:numPr>
      <w:ind w:left="100" w:leftChars="2500" w:firstLine="200" w:firstLineChars="200"/>
    </w:pPr>
    <w:rPr>
      <w:rFonts w:ascii="Calibri" w:hAnsi="Calibri"/>
      <w:sz w:val="24"/>
    </w:rPr>
  </w:style>
  <w:style w:type="paragraph" w:customStyle="1" w:styleId="201">
    <w:name w:val="副标题1"/>
    <w:basedOn w:val="1"/>
    <w:next w:val="1"/>
    <w:qFormat/>
    <w:uiPriority w:val="11"/>
    <w:pPr>
      <w:spacing w:after="60"/>
      <w:ind w:firstLine="200" w:firstLineChars="200"/>
      <w:jc w:val="center"/>
      <w:outlineLvl w:val="1"/>
    </w:pPr>
    <w:rPr>
      <w:rFonts w:ascii="Cambria" w:hAnsi="Cambria"/>
      <w:sz w:val="24"/>
    </w:rPr>
  </w:style>
  <w:style w:type="paragraph" w:customStyle="1" w:styleId="202">
    <w:name w:val="普通(网站)1"/>
    <w:basedOn w:val="1"/>
    <w:next w:val="41"/>
    <w:link w:val="203"/>
    <w:unhideWhenUsed/>
    <w:qFormat/>
    <w:uiPriority w:val="0"/>
    <w:pPr>
      <w:widowControl/>
      <w:numPr>
        <w:ilvl w:val="2"/>
        <w:numId w:val="13"/>
      </w:numPr>
      <w:spacing w:before="100" w:beforeAutospacing="1" w:after="100" w:afterAutospacing="1"/>
      <w:ind w:left="0" w:firstLine="200" w:firstLineChars="200"/>
      <w:jc w:val="left"/>
    </w:pPr>
    <w:rPr>
      <w:rFonts w:eastAsia="Times New Roman"/>
      <w:kern w:val="0"/>
      <w:sz w:val="24"/>
      <w:szCs w:val="22"/>
    </w:rPr>
  </w:style>
  <w:style w:type="character" w:customStyle="1" w:styleId="203">
    <w:name w:val="普通(网站) Char"/>
    <w:link w:val="202"/>
    <w:qFormat/>
    <w:uiPriority w:val="0"/>
    <w:rPr>
      <w:rFonts w:ascii="宋体" w:hAnsi="宋体" w:eastAsia="Times New Roman" w:cs="Times New Roman"/>
      <w:sz w:val="24"/>
      <w:szCs w:val="22"/>
    </w:rPr>
  </w:style>
  <w:style w:type="paragraph" w:customStyle="1" w:styleId="204">
    <w:name w:val="标题1"/>
    <w:basedOn w:val="1"/>
    <w:next w:val="22"/>
    <w:qFormat/>
    <w:uiPriority w:val="0"/>
    <w:pPr>
      <w:numPr>
        <w:ilvl w:val="0"/>
        <w:numId w:val="14"/>
      </w:numPr>
      <w:spacing w:before="240" w:after="60"/>
      <w:ind w:left="0" w:firstLine="200" w:firstLineChars="200"/>
      <w:jc w:val="center"/>
      <w:outlineLvl w:val="0"/>
    </w:pPr>
    <w:rPr>
      <w:rFonts w:ascii="Cambria" w:hAnsi="Cambria"/>
      <w:b/>
      <w:bCs/>
      <w:kern w:val="28"/>
      <w:sz w:val="32"/>
      <w:szCs w:val="32"/>
    </w:rPr>
  </w:style>
  <w:style w:type="paragraph" w:customStyle="1" w:styleId="205">
    <w:name w:val="批注主题1"/>
    <w:basedOn w:val="16"/>
    <w:next w:val="16"/>
    <w:qFormat/>
    <w:uiPriority w:val="0"/>
    <w:pPr>
      <w:ind w:firstLine="200" w:firstLineChars="200"/>
    </w:pPr>
    <w:rPr>
      <w:rFonts w:ascii="Calibri" w:hAnsi="Calibri" w:cs="Times New Roman"/>
      <w:b/>
      <w:bCs/>
      <w:sz w:val="24"/>
    </w:rPr>
  </w:style>
  <w:style w:type="paragraph" w:customStyle="1" w:styleId="206">
    <w:name w:val="正文首行缩进1"/>
    <w:basedOn w:val="1"/>
    <w:next w:val="44"/>
    <w:qFormat/>
    <w:uiPriority w:val="0"/>
    <w:pPr>
      <w:numPr>
        <w:ilvl w:val="0"/>
        <w:numId w:val="15"/>
      </w:numPr>
      <w:spacing w:line="312" w:lineRule="auto"/>
      <w:ind w:left="0" w:firstLine="420"/>
    </w:pPr>
    <w:rPr>
      <w:rFonts w:ascii="Calibri" w:hAnsi="Calibri"/>
    </w:rPr>
  </w:style>
  <w:style w:type="paragraph" w:customStyle="1" w:styleId="207">
    <w:name w:val="列出段落1"/>
    <w:basedOn w:val="1"/>
    <w:qFormat/>
    <w:uiPriority w:val="99"/>
    <w:pPr>
      <w:numPr>
        <w:ilvl w:val="0"/>
        <w:numId w:val="16"/>
      </w:numPr>
      <w:ind w:firstLine="420" w:firstLineChars="200"/>
    </w:pPr>
    <w:rPr>
      <w:sz w:val="24"/>
      <w:szCs w:val="22"/>
    </w:rPr>
  </w:style>
  <w:style w:type="character" w:customStyle="1" w:styleId="208">
    <w:name w:val="正文文本 Char2"/>
    <w:qFormat/>
    <w:uiPriority w:val="99"/>
    <w:rPr>
      <w:rFonts w:ascii="Times New Roman" w:hAnsi="Times New Roman" w:eastAsia="宋体" w:cs="Times New Roman"/>
      <w:sz w:val="24"/>
    </w:rPr>
  </w:style>
  <w:style w:type="character" w:customStyle="1" w:styleId="209">
    <w:name w:val="强调_0"/>
    <w:qFormat/>
    <w:uiPriority w:val="99"/>
    <w:rPr>
      <w:i/>
      <w:iCs/>
    </w:rPr>
  </w:style>
  <w:style w:type="character" w:customStyle="1" w:styleId="210">
    <w:name w:val="明显引用 字符"/>
    <w:link w:val="211"/>
    <w:qFormat/>
    <w:uiPriority w:val="30"/>
    <w:rPr>
      <w:b/>
      <w:i/>
      <w:sz w:val="24"/>
    </w:rPr>
  </w:style>
  <w:style w:type="paragraph" w:styleId="211">
    <w:name w:val="Intense Quote"/>
    <w:basedOn w:val="1"/>
    <w:next w:val="1"/>
    <w:link w:val="210"/>
    <w:qFormat/>
    <w:uiPriority w:val="30"/>
    <w:pPr>
      <w:pBdr>
        <w:top w:val="single" w:color="5B9BD5" w:sz="4" w:space="10"/>
        <w:bottom w:val="single" w:color="5B9BD5" w:sz="4" w:space="10"/>
      </w:pBdr>
      <w:spacing w:before="360" w:after="360" w:line="240" w:lineRule="auto"/>
      <w:ind w:left="864" w:right="864"/>
      <w:jc w:val="center"/>
    </w:pPr>
    <w:rPr>
      <w:rFonts w:asciiTheme="minorHAnsi" w:hAnsiTheme="minorHAnsi" w:eastAsiaTheme="minorEastAsia" w:cstheme="minorBidi"/>
      <w:b/>
      <w:i/>
      <w:sz w:val="24"/>
      <w:szCs w:val="22"/>
    </w:rPr>
  </w:style>
  <w:style w:type="paragraph" w:customStyle="1" w:styleId="212">
    <w:name w:val="明显引用1"/>
    <w:basedOn w:val="1"/>
    <w:next w:val="1"/>
    <w:qFormat/>
    <w:uiPriority w:val="30"/>
    <w:pPr>
      <w:ind w:left="720" w:right="720" w:firstLine="200" w:firstLineChars="200"/>
    </w:pPr>
    <w:rPr>
      <w:b/>
      <w:i/>
      <w:kern w:val="0"/>
      <w:sz w:val="24"/>
      <w:szCs w:val="20"/>
    </w:rPr>
  </w:style>
  <w:style w:type="character" w:customStyle="1" w:styleId="213">
    <w:name w:val="明显引用 Char1"/>
    <w:qFormat/>
    <w:uiPriority w:val="30"/>
    <w:rPr>
      <w:i/>
      <w:iCs/>
      <w:color w:val="5B9BD5"/>
      <w:kern w:val="2"/>
      <w:sz w:val="24"/>
      <w:szCs w:val="22"/>
    </w:rPr>
  </w:style>
  <w:style w:type="character" w:customStyle="1" w:styleId="214">
    <w:name w:val="页眉 Char2"/>
    <w:qFormat/>
    <w:locked/>
    <w:uiPriority w:val="99"/>
    <w:rPr>
      <w:rFonts w:ascii="Calibri" w:hAnsi="Calibri" w:eastAsia="宋体"/>
      <w:kern w:val="2"/>
      <w:sz w:val="18"/>
      <w:szCs w:val="22"/>
    </w:rPr>
  </w:style>
  <w:style w:type="character" w:customStyle="1" w:styleId="215">
    <w:name w:val="x_tit"/>
    <w:qFormat/>
    <w:uiPriority w:val="0"/>
    <w:rPr>
      <w:b/>
      <w:color w:val="FFFFFF"/>
      <w:shd w:val="clear" w:color="auto" w:fill="249DC6"/>
    </w:rPr>
  </w:style>
  <w:style w:type="character" w:customStyle="1" w:styleId="216">
    <w:name w:val="Comment Subject Char"/>
    <w:qFormat/>
    <w:locked/>
    <w:uiPriority w:val="99"/>
    <w:rPr>
      <w:b/>
      <w:kern w:val="2"/>
      <w:sz w:val="24"/>
    </w:rPr>
  </w:style>
  <w:style w:type="character" w:customStyle="1" w:styleId="217">
    <w:name w:val="ca-3"/>
    <w:qFormat/>
    <w:uiPriority w:val="99"/>
  </w:style>
  <w:style w:type="character" w:customStyle="1" w:styleId="218">
    <w:name w:val="批注文字 Char2"/>
    <w:qFormat/>
    <w:uiPriority w:val="99"/>
    <w:rPr>
      <w:rFonts w:ascii="Times New Roman" w:hAnsi="Times New Roman" w:eastAsia="宋体" w:cs="Times New Roman"/>
      <w:sz w:val="24"/>
    </w:rPr>
  </w:style>
  <w:style w:type="character" w:customStyle="1" w:styleId="219">
    <w:name w:val="ca-5"/>
    <w:qFormat/>
    <w:uiPriority w:val="0"/>
  </w:style>
  <w:style w:type="character" w:customStyle="1" w:styleId="220">
    <w:name w:val="Comment Text Char"/>
    <w:qFormat/>
    <w:locked/>
    <w:uiPriority w:val="99"/>
    <w:rPr>
      <w:kern w:val="2"/>
      <w:sz w:val="24"/>
    </w:rPr>
  </w:style>
  <w:style w:type="character" w:customStyle="1" w:styleId="221">
    <w:name w:val="ca-2"/>
    <w:qFormat/>
    <w:uiPriority w:val="0"/>
  </w:style>
  <w:style w:type="character" w:customStyle="1" w:styleId="222">
    <w:name w:val="Char Char10"/>
    <w:qFormat/>
    <w:uiPriority w:val="99"/>
    <w:rPr>
      <w:rFonts w:ascii="宋体" w:hAnsi="Courier New" w:eastAsia="宋体"/>
      <w:kern w:val="2"/>
      <w:sz w:val="24"/>
      <w:lang w:val="en-US" w:eastAsia="zh-CN"/>
    </w:rPr>
  </w:style>
  <w:style w:type="character" w:customStyle="1" w:styleId="223">
    <w:name w:val="dash6b63_6587__char1"/>
    <w:qFormat/>
    <w:uiPriority w:val="0"/>
    <w:rPr>
      <w:rFonts w:hint="default" w:ascii="Calibri" w:hAnsi="Calibri" w:cs="Calibri"/>
      <w:sz w:val="20"/>
      <w:szCs w:val="20"/>
    </w:rPr>
  </w:style>
  <w:style w:type="character" w:customStyle="1" w:styleId="224">
    <w:name w:val="明显参考1"/>
    <w:qFormat/>
    <w:uiPriority w:val="32"/>
    <w:rPr>
      <w:b/>
      <w:sz w:val="24"/>
      <w:u w:val="single"/>
    </w:rPr>
  </w:style>
  <w:style w:type="character" w:customStyle="1" w:styleId="225">
    <w:name w:val="不明显强调1"/>
    <w:qFormat/>
    <w:uiPriority w:val="19"/>
    <w:rPr>
      <w:i/>
      <w:color w:val="5A5A5A"/>
    </w:rPr>
  </w:style>
  <w:style w:type="character" w:customStyle="1" w:styleId="226">
    <w:name w:val="副标题 Char2"/>
    <w:qFormat/>
    <w:locked/>
    <w:uiPriority w:val="11"/>
    <w:rPr>
      <w:rFonts w:ascii="Cambria" w:hAnsi="Cambria" w:eastAsia="宋体" w:cs="Times New Roman"/>
      <w:kern w:val="2"/>
      <w:sz w:val="24"/>
      <w:szCs w:val="24"/>
    </w:rPr>
  </w:style>
  <w:style w:type="character" w:customStyle="1" w:styleId="227">
    <w:name w:val="不明显参考1"/>
    <w:qFormat/>
    <w:uiPriority w:val="31"/>
    <w:rPr>
      <w:sz w:val="24"/>
      <w:szCs w:val="24"/>
      <w:u w:val="single"/>
    </w:rPr>
  </w:style>
  <w:style w:type="character" w:customStyle="1" w:styleId="228">
    <w:name w:val="引用 字符"/>
    <w:link w:val="229"/>
    <w:qFormat/>
    <w:uiPriority w:val="29"/>
    <w:rPr>
      <w:i/>
      <w:sz w:val="24"/>
      <w:szCs w:val="24"/>
    </w:rPr>
  </w:style>
  <w:style w:type="paragraph" w:styleId="229">
    <w:name w:val="Quote"/>
    <w:basedOn w:val="1"/>
    <w:next w:val="1"/>
    <w:link w:val="228"/>
    <w:qFormat/>
    <w:uiPriority w:val="29"/>
    <w:pPr>
      <w:spacing w:before="200" w:after="160" w:line="240" w:lineRule="auto"/>
      <w:ind w:left="864" w:right="864"/>
      <w:jc w:val="center"/>
    </w:pPr>
    <w:rPr>
      <w:rFonts w:asciiTheme="minorHAnsi" w:hAnsiTheme="minorHAnsi" w:eastAsiaTheme="minorEastAsia" w:cstheme="minorBidi"/>
      <w:i/>
      <w:sz w:val="24"/>
    </w:rPr>
  </w:style>
  <w:style w:type="paragraph" w:customStyle="1" w:styleId="230">
    <w:name w:val="引用1"/>
    <w:basedOn w:val="1"/>
    <w:next w:val="1"/>
    <w:qFormat/>
    <w:uiPriority w:val="29"/>
    <w:pPr>
      <w:ind w:firstLine="200" w:firstLineChars="200"/>
    </w:pPr>
    <w:rPr>
      <w:i/>
      <w:kern w:val="0"/>
      <w:sz w:val="24"/>
    </w:rPr>
  </w:style>
  <w:style w:type="character" w:customStyle="1" w:styleId="231">
    <w:name w:val="引用 Char1"/>
    <w:qFormat/>
    <w:uiPriority w:val="29"/>
    <w:rPr>
      <w:i/>
      <w:iCs/>
      <w:color w:val="404040"/>
      <w:kern w:val="2"/>
      <w:sz w:val="24"/>
      <w:szCs w:val="22"/>
    </w:rPr>
  </w:style>
  <w:style w:type="character" w:customStyle="1" w:styleId="232">
    <w:name w:val="Balloon Text Char"/>
    <w:qFormat/>
    <w:locked/>
    <w:uiPriority w:val="99"/>
    <w:rPr>
      <w:kern w:val="2"/>
      <w:sz w:val="18"/>
    </w:rPr>
  </w:style>
  <w:style w:type="character" w:customStyle="1" w:styleId="233">
    <w:name w:val="书籍标题1"/>
    <w:qFormat/>
    <w:uiPriority w:val="33"/>
    <w:rPr>
      <w:rFonts w:ascii="Cambria" w:hAnsi="Cambria" w:eastAsia="宋体"/>
      <w:b/>
      <w:i/>
      <w:sz w:val="24"/>
      <w:szCs w:val="24"/>
    </w:rPr>
  </w:style>
  <w:style w:type="character" w:customStyle="1" w:styleId="234">
    <w:name w:val="明显强调1"/>
    <w:qFormat/>
    <w:uiPriority w:val="21"/>
    <w:rPr>
      <w:b/>
      <w:i/>
      <w:sz w:val="24"/>
      <w:szCs w:val="24"/>
      <w:u w:val="single"/>
    </w:rPr>
  </w:style>
  <w:style w:type="character" w:customStyle="1" w:styleId="235">
    <w:name w:val="样式1 Char"/>
    <w:qFormat/>
    <w:uiPriority w:val="0"/>
    <w:rPr>
      <w:rFonts w:ascii="宋体" w:hAnsi="宋体"/>
      <w:bCs/>
      <w:iCs/>
      <w:color w:val="000000"/>
      <w:spacing w:val="10"/>
      <w:sz w:val="24"/>
      <w:szCs w:val="24"/>
    </w:rPr>
  </w:style>
  <w:style w:type="character" w:customStyle="1" w:styleId="236">
    <w:name w:val="Plain Text Char"/>
    <w:qFormat/>
    <w:locked/>
    <w:uiPriority w:val="99"/>
    <w:rPr>
      <w:rFonts w:ascii="宋体" w:hAnsi="Courier New"/>
      <w:kern w:val="2"/>
      <w:sz w:val="24"/>
    </w:rPr>
  </w:style>
  <w:style w:type="character" w:customStyle="1" w:styleId="237">
    <w:name w:val="ca-1"/>
    <w:qFormat/>
    <w:uiPriority w:val="0"/>
  </w:style>
  <w:style w:type="character" w:customStyle="1" w:styleId="238">
    <w:name w:val="标题 3 Char1"/>
    <w:link w:val="239"/>
    <w:qFormat/>
    <w:locked/>
    <w:uiPriority w:val="99"/>
    <w:rPr>
      <w:sz w:val="32"/>
      <w:szCs w:val="32"/>
    </w:rPr>
  </w:style>
  <w:style w:type="paragraph" w:customStyle="1" w:styleId="239">
    <w:name w:val="标题 3_0"/>
    <w:basedOn w:val="240"/>
    <w:next w:val="240"/>
    <w:link w:val="238"/>
    <w:unhideWhenUsed/>
    <w:qFormat/>
    <w:uiPriority w:val="99"/>
    <w:pPr>
      <w:keepNext/>
      <w:keepLines/>
      <w:spacing w:before="260" w:after="260" w:line="415" w:lineRule="auto"/>
      <w:outlineLvl w:val="2"/>
    </w:pPr>
    <w:rPr>
      <w:rFonts w:asciiTheme="minorHAnsi" w:hAnsiTheme="minorHAnsi" w:eastAsiaTheme="minorEastAsia" w:cstheme="minorBidi"/>
      <w:sz w:val="32"/>
      <w:szCs w:val="32"/>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1">
    <w:name w:val="纯文本 Char2"/>
    <w:qFormat/>
    <w:uiPriority w:val="99"/>
    <w:rPr>
      <w:rFonts w:ascii="宋体" w:hAnsi="Courier New" w:eastAsia="宋体" w:cs="Courier New"/>
      <w:szCs w:val="21"/>
    </w:rPr>
  </w:style>
  <w:style w:type="character" w:customStyle="1" w:styleId="242">
    <w:name w:val="批注主题 Char2"/>
    <w:qFormat/>
    <w:uiPriority w:val="99"/>
    <w:rPr>
      <w:rFonts w:ascii="Times New Roman" w:hAnsi="Times New Roman" w:eastAsia="宋体" w:cs="Times New Roman"/>
      <w:b/>
      <w:bCs/>
      <w:sz w:val="24"/>
    </w:rPr>
  </w:style>
  <w:style w:type="paragraph" w:customStyle="1" w:styleId="243">
    <w:name w:val="pa-5"/>
    <w:basedOn w:val="1"/>
    <w:qFormat/>
    <w:uiPriority w:val="0"/>
    <w:pPr>
      <w:widowControl/>
      <w:spacing w:before="150" w:after="150"/>
      <w:ind w:firstLine="200" w:firstLineChars="200"/>
      <w:jc w:val="left"/>
    </w:pPr>
    <w:rPr>
      <w:rFonts w:cs="宋体"/>
      <w:kern w:val="0"/>
      <w:sz w:val="24"/>
      <w:szCs w:val="22"/>
    </w:rPr>
  </w:style>
  <w:style w:type="character" w:customStyle="1" w:styleId="244">
    <w:name w:val="标题 Char1"/>
    <w:qFormat/>
    <w:uiPriority w:val="10"/>
    <w:rPr>
      <w:rFonts w:ascii="Calibri Light" w:hAnsi="Calibri Light" w:eastAsia="宋体" w:cs="Times New Roman"/>
      <w:b/>
      <w:bCs/>
      <w:sz w:val="32"/>
      <w:szCs w:val="32"/>
    </w:rPr>
  </w:style>
  <w:style w:type="paragraph" w:customStyle="1" w:styleId="245">
    <w:name w:val="pa-3"/>
    <w:basedOn w:val="1"/>
    <w:qFormat/>
    <w:uiPriority w:val="0"/>
    <w:pPr>
      <w:widowControl/>
      <w:spacing w:before="150" w:after="150"/>
      <w:ind w:firstLine="200" w:firstLineChars="200"/>
      <w:jc w:val="left"/>
    </w:pPr>
    <w:rPr>
      <w:rFonts w:cs="宋体"/>
      <w:kern w:val="0"/>
      <w:sz w:val="24"/>
      <w:szCs w:val="22"/>
    </w:rPr>
  </w:style>
  <w:style w:type="character" w:customStyle="1" w:styleId="246">
    <w:name w:val="批注框文本 Char2"/>
    <w:qFormat/>
    <w:uiPriority w:val="99"/>
    <w:rPr>
      <w:rFonts w:ascii="Times New Roman" w:hAnsi="Times New Roman" w:eastAsia="宋体" w:cs="Times New Roman"/>
      <w:sz w:val="18"/>
      <w:szCs w:val="18"/>
    </w:rPr>
  </w:style>
  <w:style w:type="paragraph" w:customStyle="1" w:styleId="247">
    <w:name w:val="Table Paragraph"/>
    <w:basedOn w:val="1"/>
    <w:qFormat/>
    <w:uiPriority w:val="1"/>
    <w:pPr>
      <w:ind w:firstLine="200" w:firstLineChars="200"/>
    </w:pPr>
    <w:rPr>
      <w:sz w:val="24"/>
      <w:szCs w:val="22"/>
    </w:rPr>
  </w:style>
  <w:style w:type="paragraph" w:customStyle="1" w:styleId="248">
    <w:name w:val="正文1"/>
    <w:link w:val="249"/>
    <w:qFormat/>
    <w:uiPriority w:val="0"/>
    <w:pPr>
      <w:widowControl w:val="0"/>
      <w:jc w:val="both"/>
    </w:pPr>
    <w:rPr>
      <w:rFonts w:ascii="Times New Roman" w:hAnsi="Times New Roman" w:eastAsia="Times New Roman" w:cs="Times New Roman"/>
      <w:lang w:val="en-US" w:eastAsia="zh-CN" w:bidi="ar-SA"/>
    </w:rPr>
  </w:style>
  <w:style w:type="character" w:customStyle="1" w:styleId="249">
    <w:name w:val="正文1 Char"/>
    <w:link w:val="248"/>
    <w:qFormat/>
    <w:uiPriority w:val="0"/>
    <w:rPr>
      <w:rFonts w:ascii="Times New Roman" w:hAnsi="Times New Roman" w:eastAsia="Times New Roman" w:cs="Times New Roman"/>
      <w:kern w:val="0"/>
      <w:sz w:val="20"/>
      <w:szCs w:val="20"/>
    </w:rPr>
  </w:style>
  <w:style w:type="paragraph" w:customStyle="1" w:styleId="250">
    <w:name w:val="Normal_0"/>
    <w:qFormat/>
    <w:uiPriority w:val="0"/>
    <w:rPr>
      <w:rFonts w:ascii="Times New Roman" w:hAnsi="Times New Roman" w:eastAsia="Times New Roman" w:cs="Times New Roman"/>
      <w:sz w:val="24"/>
      <w:szCs w:val="24"/>
      <w:lang w:val="en-US" w:eastAsia="zh-CN" w:bidi="ar-SA"/>
    </w:rPr>
  </w:style>
  <w:style w:type="paragraph" w:customStyle="1" w:styleId="251">
    <w:name w:val="pa-6"/>
    <w:basedOn w:val="1"/>
    <w:qFormat/>
    <w:uiPriority w:val="0"/>
    <w:pPr>
      <w:widowControl/>
      <w:spacing w:before="150" w:after="150"/>
      <w:ind w:firstLine="200" w:firstLineChars="200"/>
      <w:jc w:val="left"/>
    </w:pPr>
    <w:rPr>
      <w:rFonts w:cs="宋体"/>
      <w:kern w:val="0"/>
      <w:sz w:val="24"/>
      <w:szCs w:val="22"/>
    </w:rPr>
  </w:style>
  <w:style w:type="paragraph" w:styleId="252">
    <w:name w:val="No Spacing"/>
    <w:basedOn w:val="1"/>
    <w:qFormat/>
    <w:uiPriority w:val="1"/>
    <w:pPr>
      <w:ind w:firstLine="200" w:firstLineChars="200"/>
    </w:pPr>
    <w:rPr>
      <w:b/>
      <w:sz w:val="24"/>
      <w:szCs w:val="32"/>
    </w:rPr>
  </w:style>
  <w:style w:type="paragraph" w:customStyle="1" w:styleId="253">
    <w:name w:val="pa-7"/>
    <w:basedOn w:val="1"/>
    <w:qFormat/>
    <w:uiPriority w:val="0"/>
    <w:pPr>
      <w:widowControl/>
      <w:spacing w:before="150" w:after="150"/>
      <w:ind w:firstLine="200" w:firstLineChars="200"/>
      <w:jc w:val="left"/>
    </w:pPr>
    <w:rPr>
      <w:rFonts w:cs="宋体"/>
      <w:kern w:val="0"/>
      <w:sz w:val="24"/>
      <w:szCs w:val="22"/>
    </w:rPr>
  </w:style>
  <w:style w:type="paragraph" w:customStyle="1" w:styleId="254">
    <w:name w:val="pa-1"/>
    <w:basedOn w:val="1"/>
    <w:qFormat/>
    <w:uiPriority w:val="0"/>
    <w:pPr>
      <w:widowControl/>
      <w:spacing w:before="150" w:after="150"/>
      <w:ind w:firstLine="200" w:firstLineChars="200"/>
      <w:jc w:val="left"/>
    </w:pPr>
    <w:rPr>
      <w:rFonts w:cs="宋体"/>
      <w:kern w:val="0"/>
      <w:sz w:val="24"/>
      <w:szCs w:val="22"/>
    </w:rPr>
  </w:style>
  <w:style w:type="paragraph" w:customStyle="1" w:styleId="255">
    <w:name w:val="pa-4"/>
    <w:basedOn w:val="1"/>
    <w:qFormat/>
    <w:uiPriority w:val="99"/>
    <w:pPr>
      <w:widowControl/>
      <w:spacing w:before="150" w:after="150"/>
      <w:ind w:firstLine="200" w:firstLineChars="200"/>
      <w:jc w:val="left"/>
    </w:pPr>
    <w:rPr>
      <w:rFonts w:cs="宋体"/>
      <w:kern w:val="0"/>
      <w:sz w:val="24"/>
      <w:szCs w:val="22"/>
    </w:rPr>
  </w:style>
  <w:style w:type="paragraph" w:customStyle="1" w:styleId="256">
    <w:name w:val="Normal_1"/>
    <w:qFormat/>
    <w:uiPriority w:val="0"/>
    <w:pPr>
      <w:spacing w:line="360" w:lineRule="auto"/>
    </w:pPr>
    <w:rPr>
      <w:rFonts w:ascii="Times New Roman" w:hAnsi="Times New Roman" w:eastAsia="宋体" w:cs="Times New Roman"/>
      <w:sz w:val="21"/>
      <w:szCs w:val="24"/>
      <w:lang w:val="en-US" w:eastAsia="zh-CN" w:bidi="ar-SA"/>
    </w:rPr>
  </w:style>
  <w:style w:type="paragraph" w:customStyle="1" w:styleId="257">
    <w:name w:val="pa-2"/>
    <w:basedOn w:val="1"/>
    <w:qFormat/>
    <w:uiPriority w:val="0"/>
    <w:pPr>
      <w:widowControl/>
      <w:spacing w:before="150" w:after="150"/>
      <w:ind w:firstLine="200" w:firstLineChars="200"/>
      <w:jc w:val="left"/>
    </w:pPr>
    <w:rPr>
      <w:rFonts w:cs="宋体"/>
      <w:kern w:val="0"/>
      <w:sz w:val="24"/>
      <w:szCs w:val="22"/>
    </w:rPr>
  </w:style>
  <w:style w:type="paragraph" w:customStyle="1" w:styleId="258">
    <w:name w:val="彩色列表1"/>
    <w:basedOn w:val="1"/>
    <w:qFormat/>
    <w:uiPriority w:val="34"/>
    <w:pPr>
      <w:ind w:firstLine="420" w:firstLineChars="200"/>
    </w:pPr>
    <w:rPr>
      <w:sz w:val="24"/>
      <w:szCs w:val="22"/>
    </w:rPr>
  </w:style>
  <w:style w:type="paragraph" w:customStyle="1" w:styleId="259">
    <w:name w:val="正文11"/>
    <w:qFormat/>
    <w:uiPriority w:val="0"/>
    <w:pPr>
      <w:widowControl w:val="0"/>
      <w:jc w:val="both"/>
    </w:pPr>
    <w:rPr>
      <w:rFonts w:ascii="Times New Roman" w:hAnsi="Times New Roman" w:eastAsia="Times New Roman" w:cs="Times New Roman"/>
      <w:lang w:val="en-US" w:eastAsia="zh-CN" w:bidi="ar-SA"/>
    </w:rPr>
  </w:style>
  <w:style w:type="paragraph" w:customStyle="1" w:styleId="260">
    <w:name w:val="WPSOffice手动目录 1"/>
    <w:qFormat/>
    <w:uiPriority w:val="0"/>
    <w:rPr>
      <w:rFonts w:ascii="Times New Roman" w:hAnsi="Times New Roman" w:eastAsia="宋体" w:cs="Times New Roman"/>
      <w:lang w:val="en-US" w:eastAsia="zh-CN" w:bidi="ar-SA"/>
    </w:rPr>
  </w:style>
  <w:style w:type="paragraph" w:customStyle="1" w:styleId="261">
    <w:name w:val="正文_7"/>
    <w:qFormat/>
    <w:uiPriority w:val="0"/>
    <w:pPr>
      <w:widowControl w:val="0"/>
      <w:jc w:val="both"/>
    </w:pPr>
    <w:rPr>
      <w:rFonts w:ascii="Times New Roman" w:hAnsi="Times New Roman" w:eastAsia="宋体" w:cs="Times New Roman"/>
      <w:lang w:val="en-US" w:eastAsia="zh-CN" w:bidi="ar-SA"/>
    </w:rPr>
  </w:style>
  <w:style w:type="paragraph" w:customStyle="1" w:styleId="26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4">
    <w:name w:val="样式7"/>
    <w:basedOn w:val="1"/>
    <w:qFormat/>
    <w:uiPriority w:val="0"/>
    <w:pPr>
      <w:spacing w:line="480" w:lineRule="exact"/>
      <w:ind w:firstLine="200" w:firstLineChars="200"/>
      <w:jc w:val="center"/>
    </w:pPr>
    <w:rPr>
      <w:rFonts w:eastAsia="方正大标宋简体"/>
      <w:spacing w:val="6"/>
      <w:sz w:val="44"/>
      <w:szCs w:val="22"/>
    </w:rPr>
  </w:style>
  <w:style w:type="character" w:customStyle="1" w:styleId="265">
    <w:name w:val="批注引用1"/>
    <w:qFormat/>
    <w:uiPriority w:val="0"/>
    <w:rPr>
      <w:sz w:val="21"/>
      <w:szCs w:val="21"/>
    </w:rPr>
  </w:style>
  <w:style w:type="character" w:customStyle="1" w:styleId="266">
    <w:name w:val="占位符文本1"/>
    <w:qFormat/>
    <w:uiPriority w:val="0"/>
    <w:rPr>
      <w:color w:val="808080"/>
    </w:rPr>
  </w:style>
  <w:style w:type="paragraph" w:customStyle="1" w:styleId="267">
    <w:name w:val="TOC 标题11"/>
    <w:basedOn w:val="2"/>
    <w:next w:val="1"/>
    <w:qFormat/>
    <w:uiPriority w:val="0"/>
    <w:pPr>
      <w:spacing w:before="260" w:after="260" w:line="413" w:lineRule="auto"/>
      <w:ind w:firstLine="200" w:firstLineChars="200"/>
      <w:jc w:val="center"/>
    </w:pPr>
    <w:rPr>
      <w:sz w:val="36"/>
      <w:lang w:val="zh-CN"/>
    </w:rPr>
  </w:style>
  <w:style w:type="paragraph" w:customStyle="1" w:styleId="268">
    <w:name w:val="正文文本 21"/>
    <w:basedOn w:val="1"/>
    <w:qFormat/>
    <w:uiPriority w:val="0"/>
    <w:pPr>
      <w:adjustRightInd w:val="0"/>
      <w:snapToGrid w:val="0"/>
      <w:spacing w:afterLines="50" w:line="480" w:lineRule="auto"/>
      <w:ind w:firstLine="480" w:firstLineChars="200"/>
    </w:pPr>
    <w:rPr>
      <w:rFonts w:ascii="Calibri" w:hAnsi="Calibri" w:cs="黑体"/>
      <w:sz w:val="24"/>
      <w:szCs w:val="22"/>
    </w:rPr>
  </w:style>
  <w:style w:type="paragraph" w:customStyle="1" w:styleId="269">
    <w:name w:val="纯文本2"/>
    <w:qFormat/>
    <w:uiPriority w:val="0"/>
    <w:pPr>
      <w:adjustRightInd w:val="0"/>
      <w:snapToGrid w:val="0"/>
      <w:spacing w:afterLines="50" w:line="360" w:lineRule="auto"/>
      <w:jc w:val="both"/>
    </w:pPr>
    <w:rPr>
      <w:rFonts w:ascii="宋体" w:hAnsi="宋体" w:eastAsia="宋体" w:cs="宋体"/>
      <w:kern w:val="2"/>
      <w:sz w:val="24"/>
      <w:szCs w:val="24"/>
      <w:lang w:val="en-US" w:eastAsia="zh-CN" w:bidi="ar-SA"/>
    </w:rPr>
  </w:style>
  <w:style w:type="table" w:customStyle="1" w:styleId="270">
    <w:name w:val="Table Normal12"/>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1">
    <w:name w:val="样式 小四 左 首行缩进:  2 字符 Char Char"/>
    <w:link w:val="272"/>
    <w:qFormat/>
    <w:uiPriority w:val="0"/>
    <w:rPr>
      <w:rFonts w:cs="宋体"/>
      <w:sz w:val="24"/>
    </w:rPr>
  </w:style>
  <w:style w:type="paragraph" w:customStyle="1" w:styleId="272">
    <w:name w:val="样式 小四 左 首行缩进:  2 字符"/>
    <w:basedOn w:val="1"/>
    <w:link w:val="271"/>
    <w:qFormat/>
    <w:uiPriority w:val="0"/>
    <w:pPr>
      <w:adjustRightInd w:val="0"/>
      <w:ind w:right="-56" w:rightChars="-20" w:firstLine="480" w:firstLineChars="200"/>
      <w:jc w:val="left"/>
      <w:textAlignment w:val="baseline"/>
    </w:pPr>
    <w:rPr>
      <w:rFonts w:cs="宋体" w:asciiTheme="minorHAnsi" w:hAnsiTheme="minorHAnsi" w:eastAsiaTheme="minorEastAsia"/>
      <w:sz w:val="24"/>
      <w:szCs w:val="22"/>
    </w:rPr>
  </w:style>
  <w:style w:type="character" w:customStyle="1" w:styleId="273">
    <w:name w:val="样式 标题 1 + 黑体 Char Char"/>
    <w:link w:val="274"/>
    <w:qFormat/>
    <w:uiPriority w:val="0"/>
    <w:rPr>
      <w:rFonts w:ascii="黑体" w:hAnsi="黑体" w:eastAsia="黑体"/>
      <w:b/>
      <w:bCs/>
      <w:kern w:val="44"/>
      <w:sz w:val="44"/>
      <w:szCs w:val="44"/>
    </w:rPr>
  </w:style>
  <w:style w:type="paragraph" w:customStyle="1" w:styleId="274">
    <w:name w:val="样式 标题 1 + 黑体"/>
    <w:basedOn w:val="2"/>
    <w:next w:val="2"/>
    <w:link w:val="273"/>
    <w:qFormat/>
    <w:uiPriority w:val="0"/>
    <w:rPr>
      <w:rFonts w:ascii="黑体" w:hAnsi="黑体" w:eastAsia="黑体" w:cstheme="minorBidi"/>
    </w:rPr>
  </w:style>
  <w:style w:type="character" w:customStyle="1" w:styleId="275">
    <w:name w:val="批注引用2"/>
    <w:qFormat/>
    <w:uiPriority w:val="0"/>
    <w:rPr>
      <w:sz w:val="21"/>
      <w:szCs w:val="21"/>
    </w:rPr>
  </w:style>
  <w:style w:type="character" w:customStyle="1" w:styleId="276">
    <w:name w:val="占位符文本2"/>
    <w:qFormat/>
    <w:uiPriority w:val="0"/>
    <w:rPr>
      <w:color w:val="808080"/>
    </w:rPr>
  </w:style>
  <w:style w:type="paragraph" w:customStyle="1" w:styleId="277">
    <w:name w:val="批注主题2"/>
    <w:basedOn w:val="16"/>
    <w:next w:val="16"/>
    <w:qFormat/>
    <w:uiPriority w:val="0"/>
    <w:pPr>
      <w:adjustRightInd w:val="0"/>
      <w:snapToGrid w:val="0"/>
      <w:spacing w:afterLines="50"/>
      <w:ind w:firstLine="480" w:firstLineChars="200"/>
    </w:pPr>
    <w:rPr>
      <w:rFonts w:ascii="Calibri" w:hAnsi="Calibri" w:cs="黑体"/>
      <w:b/>
      <w:bCs/>
      <w:sz w:val="24"/>
      <w:szCs w:val="22"/>
    </w:rPr>
  </w:style>
  <w:style w:type="paragraph" w:customStyle="1" w:styleId="278">
    <w:name w:val="日期2"/>
    <w:basedOn w:val="1"/>
    <w:next w:val="1"/>
    <w:qFormat/>
    <w:uiPriority w:val="0"/>
    <w:pPr>
      <w:adjustRightInd w:val="0"/>
      <w:snapToGrid w:val="0"/>
      <w:spacing w:afterLines="50"/>
      <w:ind w:left="100" w:leftChars="2500" w:firstLine="480" w:firstLineChars="200"/>
    </w:pPr>
    <w:rPr>
      <w:rFonts w:cs="黑体"/>
      <w:sz w:val="24"/>
    </w:rPr>
  </w:style>
  <w:style w:type="paragraph" w:customStyle="1" w:styleId="279">
    <w:name w:val="正文文本 22"/>
    <w:basedOn w:val="1"/>
    <w:qFormat/>
    <w:uiPriority w:val="0"/>
    <w:pPr>
      <w:adjustRightInd w:val="0"/>
      <w:snapToGrid w:val="0"/>
      <w:spacing w:afterLines="50" w:line="480" w:lineRule="auto"/>
      <w:ind w:firstLine="480" w:firstLineChars="200"/>
    </w:pPr>
    <w:rPr>
      <w:rFonts w:ascii="Calibri" w:hAnsi="Calibri" w:cs="黑体"/>
      <w:sz w:val="24"/>
      <w:szCs w:val="22"/>
    </w:rPr>
  </w:style>
  <w:style w:type="paragraph" w:customStyle="1" w:styleId="280">
    <w:name w:val="列出段落2"/>
    <w:basedOn w:val="1"/>
    <w:qFormat/>
    <w:uiPriority w:val="0"/>
    <w:pPr>
      <w:adjustRightInd w:val="0"/>
      <w:snapToGrid w:val="0"/>
      <w:spacing w:afterLines="50"/>
      <w:ind w:firstLine="420" w:firstLineChars="200"/>
    </w:pPr>
    <w:rPr>
      <w:rFonts w:cs="黑体"/>
      <w:sz w:val="24"/>
    </w:rPr>
  </w:style>
  <w:style w:type="paragraph" w:customStyle="1" w:styleId="281">
    <w:name w:val="修订2111"/>
    <w:qFormat/>
    <w:uiPriority w:val="99"/>
    <w:rPr>
      <w:rFonts w:ascii="宋体" w:hAnsi="Calibri" w:eastAsia="宋体" w:cs="黑体"/>
      <w:kern w:val="2"/>
      <w:sz w:val="24"/>
      <w:szCs w:val="22"/>
      <w:lang w:val="en-US" w:eastAsia="zh-CN" w:bidi="ar-SA"/>
    </w:rPr>
  </w:style>
  <w:style w:type="paragraph" w:customStyle="1" w:styleId="282">
    <w:name w:val="纯文本3"/>
    <w:qFormat/>
    <w:uiPriority w:val="0"/>
    <w:pPr>
      <w:adjustRightInd w:val="0"/>
      <w:snapToGrid w:val="0"/>
      <w:spacing w:afterLines="50" w:line="360" w:lineRule="auto"/>
      <w:jc w:val="both"/>
    </w:pPr>
    <w:rPr>
      <w:rFonts w:ascii="宋体" w:hAnsi="宋体" w:eastAsia="宋体" w:cs="宋体"/>
      <w:kern w:val="2"/>
      <w:sz w:val="24"/>
      <w:szCs w:val="24"/>
      <w:lang w:val="en-US" w:eastAsia="zh-CN" w:bidi="ar-SA"/>
    </w:rPr>
  </w:style>
  <w:style w:type="paragraph" w:customStyle="1" w:styleId="283">
    <w:name w:val="普通(网站)2"/>
    <w:basedOn w:val="1"/>
    <w:qFormat/>
    <w:uiPriority w:val="0"/>
    <w:pPr>
      <w:widowControl/>
      <w:spacing w:before="100" w:beforeAutospacing="1" w:afterLines="50" w:line="240" w:lineRule="auto"/>
      <w:jc w:val="left"/>
    </w:pPr>
    <w:rPr>
      <w:rFonts w:cs="宋体"/>
      <w:kern w:val="0"/>
      <w:sz w:val="24"/>
    </w:rPr>
  </w:style>
  <w:style w:type="paragraph" w:customStyle="1" w:styleId="284">
    <w:name w:val="正文文本 32"/>
    <w:basedOn w:val="1"/>
    <w:qFormat/>
    <w:uiPriority w:val="0"/>
    <w:pPr>
      <w:adjustRightInd w:val="0"/>
      <w:snapToGrid w:val="0"/>
      <w:spacing w:afterLines="50"/>
      <w:ind w:firstLine="480" w:firstLineChars="200"/>
    </w:pPr>
    <w:rPr>
      <w:rFonts w:ascii="Calibri" w:hAnsi="Calibri" w:cs="黑体"/>
      <w:sz w:val="16"/>
      <w:szCs w:val="16"/>
    </w:rPr>
  </w:style>
  <w:style w:type="paragraph" w:customStyle="1" w:styleId="285">
    <w:name w:val="文档结构图2"/>
    <w:basedOn w:val="1"/>
    <w:qFormat/>
    <w:uiPriority w:val="0"/>
    <w:pPr>
      <w:adjustRightInd w:val="0"/>
      <w:snapToGrid w:val="0"/>
      <w:spacing w:afterLines="50"/>
      <w:ind w:firstLine="480" w:firstLineChars="200"/>
    </w:pPr>
    <w:rPr>
      <w:rFonts w:hAnsi="Calibri" w:cs="黑体"/>
      <w:sz w:val="24"/>
    </w:rPr>
  </w:style>
  <w:style w:type="character" w:customStyle="1" w:styleId="286">
    <w:name w:val="批注引用3"/>
    <w:qFormat/>
    <w:uiPriority w:val="0"/>
    <w:rPr>
      <w:sz w:val="21"/>
      <w:szCs w:val="21"/>
    </w:rPr>
  </w:style>
  <w:style w:type="character" w:customStyle="1" w:styleId="287">
    <w:name w:val="占位符文本3"/>
    <w:qFormat/>
    <w:uiPriority w:val="0"/>
    <w:rPr>
      <w:color w:val="808080"/>
    </w:rPr>
  </w:style>
  <w:style w:type="paragraph" w:customStyle="1" w:styleId="288">
    <w:name w:val="批注主题3"/>
    <w:basedOn w:val="16"/>
    <w:next w:val="16"/>
    <w:qFormat/>
    <w:uiPriority w:val="0"/>
    <w:pPr>
      <w:adjustRightInd w:val="0"/>
      <w:snapToGrid w:val="0"/>
      <w:spacing w:afterLines="50"/>
      <w:ind w:firstLine="480" w:firstLineChars="200"/>
    </w:pPr>
    <w:rPr>
      <w:rFonts w:ascii="Calibri" w:hAnsi="Calibri" w:cs="黑体"/>
      <w:b/>
      <w:bCs/>
      <w:sz w:val="24"/>
      <w:szCs w:val="22"/>
    </w:rPr>
  </w:style>
  <w:style w:type="paragraph" w:customStyle="1" w:styleId="289">
    <w:name w:val="日期3"/>
    <w:basedOn w:val="1"/>
    <w:next w:val="1"/>
    <w:qFormat/>
    <w:uiPriority w:val="0"/>
    <w:pPr>
      <w:adjustRightInd w:val="0"/>
      <w:snapToGrid w:val="0"/>
      <w:spacing w:afterLines="50"/>
      <w:ind w:left="100" w:leftChars="2500" w:firstLine="480" w:firstLineChars="200"/>
    </w:pPr>
    <w:rPr>
      <w:rFonts w:cs="黑体"/>
      <w:sz w:val="24"/>
    </w:rPr>
  </w:style>
  <w:style w:type="paragraph" w:customStyle="1" w:styleId="290">
    <w:name w:val="TOC 标题3"/>
    <w:basedOn w:val="2"/>
    <w:next w:val="1"/>
    <w:qFormat/>
    <w:uiPriority w:val="0"/>
    <w:pPr>
      <w:spacing w:before="260" w:after="260" w:line="413" w:lineRule="auto"/>
      <w:jc w:val="center"/>
    </w:pPr>
    <w:rPr>
      <w:sz w:val="36"/>
      <w:lang w:val="zh-CN"/>
    </w:rPr>
  </w:style>
  <w:style w:type="paragraph" w:customStyle="1" w:styleId="291">
    <w:name w:val="正文文本 23"/>
    <w:basedOn w:val="1"/>
    <w:qFormat/>
    <w:uiPriority w:val="0"/>
    <w:pPr>
      <w:adjustRightInd w:val="0"/>
      <w:snapToGrid w:val="0"/>
      <w:spacing w:afterLines="50" w:line="480" w:lineRule="auto"/>
      <w:ind w:firstLine="480" w:firstLineChars="200"/>
    </w:pPr>
    <w:rPr>
      <w:rFonts w:ascii="Calibri" w:hAnsi="Calibri" w:cs="黑体"/>
      <w:sz w:val="24"/>
      <w:szCs w:val="22"/>
    </w:rPr>
  </w:style>
  <w:style w:type="paragraph" w:customStyle="1" w:styleId="292">
    <w:name w:val="列出段落3"/>
    <w:basedOn w:val="1"/>
    <w:qFormat/>
    <w:uiPriority w:val="0"/>
    <w:pPr>
      <w:adjustRightInd w:val="0"/>
      <w:snapToGrid w:val="0"/>
      <w:spacing w:afterLines="50"/>
      <w:ind w:firstLine="420" w:firstLineChars="200"/>
    </w:pPr>
    <w:rPr>
      <w:rFonts w:cs="黑体"/>
      <w:sz w:val="24"/>
    </w:rPr>
  </w:style>
  <w:style w:type="paragraph" w:customStyle="1" w:styleId="293">
    <w:name w:val="修订3"/>
    <w:qFormat/>
    <w:uiPriority w:val="0"/>
    <w:rPr>
      <w:rFonts w:ascii="宋体" w:hAnsi="Calibri" w:eastAsia="宋体" w:cs="黑体"/>
      <w:kern w:val="2"/>
      <w:sz w:val="24"/>
      <w:szCs w:val="22"/>
      <w:lang w:val="en-US" w:eastAsia="zh-CN" w:bidi="ar-SA"/>
    </w:rPr>
  </w:style>
  <w:style w:type="paragraph" w:customStyle="1" w:styleId="294">
    <w:name w:val="纯文本4"/>
    <w:qFormat/>
    <w:uiPriority w:val="0"/>
    <w:pPr>
      <w:adjustRightInd w:val="0"/>
      <w:snapToGrid w:val="0"/>
      <w:spacing w:afterLines="50" w:line="360" w:lineRule="auto"/>
      <w:jc w:val="both"/>
    </w:pPr>
    <w:rPr>
      <w:rFonts w:ascii="宋体" w:hAnsi="宋体" w:eastAsia="宋体" w:cs="宋体"/>
      <w:kern w:val="2"/>
      <w:sz w:val="24"/>
      <w:szCs w:val="24"/>
      <w:lang w:val="en-US" w:eastAsia="zh-CN" w:bidi="ar-SA"/>
    </w:rPr>
  </w:style>
  <w:style w:type="paragraph" w:customStyle="1" w:styleId="295">
    <w:name w:val="普通(网站)3"/>
    <w:basedOn w:val="1"/>
    <w:qFormat/>
    <w:uiPriority w:val="0"/>
    <w:pPr>
      <w:widowControl/>
      <w:spacing w:before="100" w:beforeAutospacing="1" w:afterLines="50" w:line="240" w:lineRule="auto"/>
      <w:jc w:val="left"/>
    </w:pPr>
    <w:rPr>
      <w:rFonts w:cs="宋体"/>
      <w:kern w:val="0"/>
      <w:sz w:val="24"/>
    </w:rPr>
  </w:style>
  <w:style w:type="paragraph" w:customStyle="1" w:styleId="296">
    <w:name w:val="正文文本 33"/>
    <w:basedOn w:val="1"/>
    <w:qFormat/>
    <w:uiPriority w:val="0"/>
    <w:pPr>
      <w:adjustRightInd w:val="0"/>
      <w:snapToGrid w:val="0"/>
      <w:spacing w:afterLines="50"/>
      <w:ind w:firstLine="480" w:firstLineChars="200"/>
    </w:pPr>
    <w:rPr>
      <w:rFonts w:ascii="Calibri" w:hAnsi="Calibri" w:cs="黑体"/>
      <w:sz w:val="16"/>
      <w:szCs w:val="16"/>
    </w:rPr>
  </w:style>
  <w:style w:type="paragraph" w:customStyle="1" w:styleId="297">
    <w:name w:val="文档结构图3"/>
    <w:basedOn w:val="1"/>
    <w:qFormat/>
    <w:uiPriority w:val="0"/>
    <w:pPr>
      <w:adjustRightInd w:val="0"/>
      <w:snapToGrid w:val="0"/>
      <w:spacing w:afterLines="50"/>
      <w:ind w:firstLine="480" w:firstLineChars="200"/>
    </w:pPr>
    <w:rPr>
      <w:rFonts w:hAnsi="Calibri" w:cs="黑体"/>
      <w:sz w:val="24"/>
    </w:rPr>
  </w:style>
  <w:style w:type="paragraph" w:customStyle="1" w:styleId="298">
    <w:name w:val="TOC 标题4"/>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99">
    <w:name w:val="修订4"/>
    <w:hidden/>
    <w:qFormat/>
    <w:uiPriority w:val="99"/>
    <w:rPr>
      <w:rFonts w:ascii="Times New Roman" w:hAnsi="Times New Roman" w:eastAsia="宋体" w:cs="Times New Roman"/>
      <w:kern w:val="2"/>
      <w:sz w:val="24"/>
      <w:szCs w:val="22"/>
      <w:lang w:val="en-US" w:eastAsia="zh-CN" w:bidi="ar-SA"/>
    </w:rPr>
  </w:style>
  <w:style w:type="character" w:customStyle="1" w:styleId="300">
    <w:name w:val="批注文字 字符1"/>
    <w:qFormat/>
    <w:uiPriority w:val="0"/>
    <w:rPr>
      <w:rFonts w:eastAsia="宋体"/>
      <w:szCs w:val="24"/>
    </w:rPr>
  </w:style>
  <w:style w:type="character" w:customStyle="1" w:styleId="301">
    <w:name w:val="页眉 字符1"/>
    <w:qFormat/>
    <w:uiPriority w:val="0"/>
    <w:rPr>
      <w:sz w:val="18"/>
      <w:szCs w:val="18"/>
    </w:rPr>
  </w:style>
  <w:style w:type="character" w:customStyle="1" w:styleId="302">
    <w:name w:val="页脚 字符1"/>
    <w:qFormat/>
    <w:uiPriority w:val="0"/>
    <w:rPr>
      <w:sz w:val="18"/>
      <w:szCs w:val="18"/>
    </w:rPr>
  </w:style>
  <w:style w:type="character" w:customStyle="1" w:styleId="303">
    <w:name w:val="标题 1 字符1"/>
    <w:qFormat/>
    <w:uiPriority w:val="99"/>
    <w:rPr>
      <w:rFonts w:ascii="Times New Roman" w:hAnsi="Times New Roman" w:eastAsia="宋体" w:cs="Times New Roman"/>
      <w:b/>
      <w:bCs/>
      <w:kern w:val="44"/>
      <w:sz w:val="44"/>
      <w:szCs w:val="44"/>
    </w:rPr>
  </w:style>
  <w:style w:type="character" w:customStyle="1" w:styleId="304">
    <w:name w:val="标题 3 字符1"/>
    <w:qFormat/>
    <w:uiPriority w:val="99"/>
    <w:rPr>
      <w:rFonts w:ascii="黑体" w:hAnsi="宋体" w:eastAsia="黑体" w:cs="Times New Roman"/>
      <w:bCs/>
      <w:sz w:val="28"/>
      <w:szCs w:val="28"/>
    </w:rPr>
  </w:style>
  <w:style w:type="character" w:customStyle="1" w:styleId="305">
    <w:name w:val="标题 5 字符1"/>
    <w:qFormat/>
    <w:uiPriority w:val="0"/>
    <w:rPr>
      <w:rFonts w:ascii="Times New Roman" w:hAnsi="Times New Roman" w:eastAsia="宋体" w:cs="Times New Roman"/>
      <w:b/>
      <w:bCs/>
      <w:sz w:val="28"/>
      <w:szCs w:val="28"/>
    </w:rPr>
  </w:style>
  <w:style w:type="character" w:customStyle="1" w:styleId="306">
    <w:name w:val="标题 6 字符1"/>
    <w:qFormat/>
    <w:uiPriority w:val="9"/>
    <w:rPr>
      <w:rFonts w:ascii="Arial" w:hAnsi="Arial" w:eastAsia="黑体" w:cs="Times New Roman"/>
      <w:b/>
      <w:bCs/>
      <w:kern w:val="0"/>
      <w:sz w:val="24"/>
      <w:szCs w:val="24"/>
    </w:rPr>
  </w:style>
  <w:style w:type="character" w:customStyle="1" w:styleId="307">
    <w:name w:val="标题 7 字符1"/>
    <w:qFormat/>
    <w:uiPriority w:val="0"/>
    <w:rPr>
      <w:rFonts w:ascii="Times New Roman" w:hAnsi="Times New Roman" w:eastAsia="宋体" w:cs="Times New Roman"/>
      <w:b/>
      <w:bCs/>
      <w:kern w:val="0"/>
      <w:sz w:val="24"/>
      <w:szCs w:val="24"/>
    </w:rPr>
  </w:style>
  <w:style w:type="character" w:customStyle="1" w:styleId="308">
    <w:name w:val="标题 8 字符1"/>
    <w:qFormat/>
    <w:uiPriority w:val="0"/>
    <w:rPr>
      <w:rFonts w:ascii="Arial" w:hAnsi="Arial" w:eastAsia="黑体" w:cs="Times New Roman"/>
      <w:kern w:val="0"/>
      <w:sz w:val="24"/>
      <w:szCs w:val="24"/>
    </w:rPr>
  </w:style>
  <w:style w:type="character" w:customStyle="1" w:styleId="309">
    <w:name w:val="标题 9 字符1"/>
    <w:qFormat/>
    <w:uiPriority w:val="0"/>
    <w:rPr>
      <w:rFonts w:ascii="Arial" w:hAnsi="Arial" w:eastAsia="黑体" w:cs="Times New Roman"/>
      <w:kern w:val="0"/>
      <w:szCs w:val="21"/>
    </w:rPr>
  </w:style>
  <w:style w:type="character" w:customStyle="1" w:styleId="310">
    <w:name w:val="文档结构图 字符1"/>
    <w:qFormat/>
    <w:uiPriority w:val="0"/>
    <w:rPr>
      <w:rFonts w:eastAsia="宋体"/>
      <w:szCs w:val="24"/>
      <w:shd w:val="clear" w:color="auto" w:fill="000080"/>
    </w:rPr>
  </w:style>
  <w:style w:type="character" w:customStyle="1" w:styleId="311">
    <w:name w:val="正文文本 3 字符1"/>
    <w:qFormat/>
    <w:uiPriority w:val="0"/>
    <w:rPr>
      <w:rFonts w:ascii="宋体" w:hAnsi="Times New Roman" w:eastAsia="宋体" w:cs="Times New Roman"/>
      <w:sz w:val="24"/>
      <w:szCs w:val="20"/>
    </w:rPr>
  </w:style>
  <w:style w:type="character" w:customStyle="1" w:styleId="312">
    <w:name w:val="日期 字符1"/>
    <w:qFormat/>
    <w:uiPriority w:val="0"/>
    <w:rPr>
      <w:rFonts w:ascii="Times New Roman" w:hAnsi="Times New Roman" w:eastAsia="宋体" w:cs="Times New Roman"/>
      <w:sz w:val="24"/>
      <w:szCs w:val="20"/>
    </w:rPr>
  </w:style>
  <w:style w:type="character" w:customStyle="1" w:styleId="313">
    <w:name w:val="批注框文本 字符1"/>
    <w:qFormat/>
    <w:uiPriority w:val="99"/>
    <w:rPr>
      <w:rFonts w:ascii="Times New Roman" w:hAnsi="Times New Roman" w:eastAsia="宋体" w:cs="Times New Roman"/>
      <w:sz w:val="18"/>
      <w:szCs w:val="18"/>
    </w:rPr>
  </w:style>
  <w:style w:type="character" w:customStyle="1" w:styleId="314">
    <w:name w:val="批注主题 字符1"/>
    <w:qFormat/>
    <w:uiPriority w:val="99"/>
    <w:rPr>
      <w:rFonts w:eastAsia="宋体"/>
      <w:b/>
      <w:bCs/>
      <w:szCs w:val="24"/>
    </w:rPr>
  </w:style>
  <w:style w:type="character" w:customStyle="1" w:styleId="315">
    <w:name w:val="正文文本 字符1"/>
    <w:qFormat/>
    <w:uiPriority w:val="0"/>
    <w:rPr>
      <w:rFonts w:ascii="Times New Roman" w:hAnsi="Times New Roman" w:eastAsia="宋体" w:cs="Times New Roman"/>
      <w:szCs w:val="24"/>
    </w:rPr>
  </w:style>
  <w:style w:type="paragraph" w:customStyle="1" w:styleId="316">
    <w:name w:val="CM60"/>
    <w:basedOn w:val="177"/>
    <w:next w:val="177"/>
    <w:qFormat/>
    <w:uiPriority w:val="99"/>
    <w:rPr>
      <w:rFonts w:ascii="Times New Roman" w:cs="Times New Roman"/>
      <w:color w:val="auto"/>
    </w:rPr>
  </w:style>
  <w:style w:type="paragraph" w:customStyle="1" w:styleId="317">
    <w:name w:val="CM2"/>
    <w:basedOn w:val="177"/>
    <w:next w:val="177"/>
    <w:qFormat/>
    <w:uiPriority w:val="99"/>
    <w:pPr>
      <w:spacing w:line="188" w:lineRule="atLeast"/>
    </w:pPr>
    <w:rPr>
      <w:rFonts w:ascii="Times New Roman" w:cs="Times New Roman"/>
      <w:color w:val="auto"/>
    </w:rPr>
  </w:style>
  <w:style w:type="paragraph" w:customStyle="1" w:styleId="318">
    <w:name w:val="CM56"/>
    <w:basedOn w:val="177"/>
    <w:next w:val="177"/>
    <w:qFormat/>
    <w:uiPriority w:val="99"/>
    <w:rPr>
      <w:rFonts w:ascii="Times New Roman" w:cs="Times New Roman"/>
      <w:color w:val="auto"/>
    </w:rPr>
  </w:style>
  <w:style w:type="paragraph" w:customStyle="1" w:styleId="319">
    <w:name w:val="CM3"/>
    <w:basedOn w:val="177"/>
    <w:next w:val="177"/>
    <w:qFormat/>
    <w:uiPriority w:val="99"/>
    <w:rPr>
      <w:rFonts w:ascii="Times New Roman" w:cs="Times New Roman"/>
      <w:color w:val="auto"/>
    </w:rPr>
  </w:style>
  <w:style w:type="paragraph" w:customStyle="1" w:styleId="320">
    <w:name w:val="CM37"/>
    <w:basedOn w:val="177"/>
    <w:next w:val="177"/>
    <w:qFormat/>
    <w:uiPriority w:val="99"/>
    <w:rPr>
      <w:rFonts w:ascii="Times New Roman" w:cs="Times New Roman"/>
      <w:color w:val="auto"/>
    </w:rPr>
  </w:style>
  <w:style w:type="paragraph" w:customStyle="1" w:styleId="321">
    <w:name w:val="CM5"/>
    <w:basedOn w:val="177"/>
    <w:next w:val="177"/>
    <w:qFormat/>
    <w:uiPriority w:val="99"/>
    <w:pPr>
      <w:spacing w:line="180" w:lineRule="atLeast"/>
    </w:pPr>
    <w:rPr>
      <w:rFonts w:ascii="Times New Roman" w:cs="Times New Roman"/>
      <w:color w:val="auto"/>
    </w:rPr>
  </w:style>
  <w:style w:type="paragraph" w:customStyle="1" w:styleId="322">
    <w:name w:val="CM57"/>
    <w:basedOn w:val="177"/>
    <w:next w:val="177"/>
    <w:qFormat/>
    <w:uiPriority w:val="99"/>
    <w:rPr>
      <w:rFonts w:ascii="Times New Roman" w:cs="Times New Roman"/>
      <w:color w:val="auto"/>
    </w:rPr>
  </w:style>
  <w:style w:type="paragraph" w:customStyle="1" w:styleId="323">
    <w:name w:val="CM7"/>
    <w:basedOn w:val="177"/>
    <w:next w:val="177"/>
    <w:qFormat/>
    <w:uiPriority w:val="99"/>
    <w:pPr>
      <w:spacing w:line="191" w:lineRule="atLeast"/>
    </w:pPr>
    <w:rPr>
      <w:rFonts w:ascii="Times New Roman" w:cs="Times New Roman"/>
      <w:color w:val="auto"/>
    </w:rPr>
  </w:style>
  <w:style w:type="table" w:customStyle="1" w:styleId="32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325">
    <w:name w:val="Table Normal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6">
    <w:name w:val="无题条2"/>
    <w:basedOn w:val="327"/>
    <w:qFormat/>
    <w:uiPriority w:val="0"/>
    <w:pPr>
      <w:ind w:left="851"/>
    </w:pPr>
    <w:rPr>
      <w:rFonts w:eastAsia="宋体"/>
    </w:rPr>
  </w:style>
  <w:style w:type="paragraph" w:customStyle="1" w:styleId="327">
    <w:name w:val="条2"/>
    <w:basedOn w:val="1"/>
    <w:next w:val="1"/>
    <w:qFormat/>
    <w:uiPriority w:val="0"/>
    <w:pPr>
      <w:spacing w:line="240" w:lineRule="auto"/>
    </w:pPr>
    <w:rPr>
      <w:rFonts w:ascii="Calibri" w:hAnsi="Calibri" w:eastAsia="黑体"/>
      <w:kern w:val="21"/>
      <w:szCs w:val="21"/>
    </w:rPr>
  </w:style>
  <w:style w:type="paragraph" w:customStyle="1" w:styleId="328">
    <w:name w:val="列表段落1"/>
    <w:basedOn w:val="1"/>
    <w:qFormat/>
    <w:uiPriority w:val="34"/>
    <w:pPr>
      <w:spacing w:line="240" w:lineRule="auto"/>
      <w:ind w:firstLine="420" w:firstLineChars="200"/>
    </w:pPr>
    <w:rPr>
      <w:rFonts w:ascii="Calibri" w:hAnsi="Calibri"/>
      <w:szCs w:val="28"/>
    </w:rPr>
  </w:style>
  <w:style w:type="paragraph" w:customStyle="1" w:styleId="329">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330">
    <w:name w:val="CM78"/>
    <w:basedOn w:val="1"/>
    <w:next w:val="1"/>
    <w:qFormat/>
    <w:uiPriority w:val="99"/>
    <w:pPr>
      <w:autoSpaceDE w:val="0"/>
      <w:autoSpaceDN w:val="0"/>
      <w:adjustRightInd w:val="0"/>
      <w:spacing w:line="411" w:lineRule="atLeast"/>
      <w:jc w:val="left"/>
    </w:pPr>
    <w:rPr>
      <w:rFonts w:hAnsi="Calibri"/>
      <w:kern w:val="0"/>
      <w:sz w:val="24"/>
    </w:rPr>
  </w:style>
  <w:style w:type="paragraph" w:customStyle="1" w:styleId="331">
    <w:name w:val="CM79"/>
    <w:basedOn w:val="1"/>
    <w:next w:val="1"/>
    <w:qFormat/>
    <w:uiPriority w:val="99"/>
    <w:pPr>
      <w:autoSpaceDE w:val="0"/>
      <w:autoSpaceDN w:val="0"/>
      <w:adjustRightInd w:val="0"/>
      <w:spacing w:line="411" w:lineRule="atLeast"/>
      <w:jc w:val="left"/>
    </w:pPr>
    <w:rPr>
      <w:rFonts w:hAnsi="Calibri"/>
      <w:kern w:val="0"/>
      <w:sz w:val="24"/>
    </w:rPr>
  </w:style>
  <w:style w:type="paragraph" w:customStyle="1" w:styleId="332">
    <w:name w:val="1级标题"/>
    <w:basedOn w:val="1"/>
    <w:link w:val="333"/>
    <w:qFormat/>
    <w:uiPriority w:val="0"/>
    <w:pPr>
      <w:spacing w:line="240" w:lineRule="auto"/>
      <w:jc w:val="center"/>
      <w:outlineLvl w:val="0"/>
    </w:pPr>
    <w:rPr>
      <w:b/>
      <w:sz w:val="30"/>
      <w:szCs w:val="22"/>
    </w:rPr>
  </w:style>
  <w:style w:type="character" w:customStyle="1" w:styleId="333">
    <w:name w:val="1级标题 Char"/>
    <w:link w:val="332"/>
    <w:qFormat/>
    <w:uiPriority w:val="0"/>
    <w:rPr>
      <w:rFonts w:ascii="Times New Roman" w:hAnsi="Times New Roman" w:eastAsia="宋体" w:cs="Times New Roman"/>
      <w:b/>
      <w:sz w:val="30"/>
    </w:rPr>
  </w:style>
  <w:style w:type="paragraph" w:customStyle="1" w:styleId="334">
    <w:name w:val="2级居中标题"/>
    <w:basedOn w:val="1"/>
    <w:link w:val="335"/>
    <w:qFormat/>
    <w:uiPriority w:val="0"/>
    <w:pPr>
      <w:spacing w:line="480" w:lineRule="exact"/>
      <w:jc w:val="center"/>
      <w:outlineLvl w:val="1"/>
    </w:pPr>
    <w:rPr>
      <w:b/>
      <w:sz w:val="24"/>
      <w:szCs w:val="22"/>
    </w:rPr>
  </w:style>
  <w:style w:type="character" w:customStyle="1" w:styleId="335">
    <w:name w:val="2级居中标题 Char"/>
    <w:link w:val="334"/>
    <w:qFormat/>
    <w:uiPriority w:val="0"/>
    <w:rPr>
      <w:rFonts w:ascii="Times New Roman" w:hAnsi="Times New Roman" w:eastAsia="宋体" w:cs="Times New Roman"/>
      <w:b/>
      <w:sz w:val="24"/>
    </w:rPr>
  </w:style>
  <w:style w:type="paragraph" w:customStyle="1" w:styleId="336">
    <w:name w:val="2级靠左标题"/>
    <w:basedOn w:val="1"/>
    <w:link w:val="337"/>
    <w:qFormat/>
    <w:uiPriority w:val="0"/>
    <w:pPr>
      <w:spacing w:line="480" w:lineRule="exact"/>
      <w:ind w:firstLine="200" w:firstLineChars="200"/>
      <w:outlineLvl w:val="1"/>
    </w:pPr>
    <w:rPr>
      <w:szCs w:val="22"/>
    </w:rPr>
  </w:style>
  <w:style w:type="character" w:customStyle="1" w:styleId="337">
    <w:name w:val="2级靠左标题 Char"/>
    <w:link w:val="336"/>
    <w:qFormat/>
    <w:uiPriority w:val="0"/>
    <w:rPr>
      <w:rFonts w:ascii="Times New Roman" w:hAnsi="Times New Roman" w:eastAsia="宋体" w:cs="Times New Roman"/>
    </w:rPr>
  </w:style>
  <w:style w:type="character" w:customStyle="1" w:styleId="338">
    <w:name w:val="正文首行缩进 Char3"/>
    <w:qFormat/>
    <w:uiPriority w:val="0"/>
    <w:rPr>
      <w:rFonts w:ascii="宋体" w:hAnsi="宋体"/>
      <w:szCs w:val="24"/>
    </w:rPr>
  </w:style>
  <w:style w:type="paragraph" w:customStyle="1" w:styleId="339">
    <w:name w:val="03"/>
    <w:basedOn w:val="1"/>
    <w:qFormat/>
    <w:uiPriority w:val="0"/>
    <w:pPr>
      <w:autoSpaceDE w:val="0"/>
      <w:autoSpaceDN w:val="0"/>
      <w:adjustRightInd w:val="0"/>
      <w:spacing w:afterLines="50"/>
    </w:pPr>
    <w:rPr>
      <w:sz w:val="28"/>
      <w:szCs w:val="28"/>
    </w:rPr>
  </w:style>
  <w:style w:type="character" w:customStyle="1" w:styleId="340">
    <w:name w:val="biaoge Char"/>
    <w:link w:val="341"/>
    <w:qFormat/>
    <w:uiPriority w:val="0"/>
    <w:rPr>
      <w:rFonts w:ascii="仿宋" w:hAnsi="仿宋" w:eastAsia="仿宋" w:cs="仿宋"/>
      <w:color w:val="4F81BD"/>
      <w:szCs w:val="21"/>
    </w:rPr>
  </w:style>
  <w:style w:type="paragraph" w:customStyle="1" w:styleId="341">
    <w:name w:val="biaoge"/>
    <w:basedOn w:val="1"/>
    <w:link w:val="340"/>
    <w:qFormat/>
    <w:uiPriority w:val="0"/>
    <w:pPr>
      <w:spacing w:line="240" w:lineRule="auto"/>
      <w:jc w:val="left"/>
    </w:pPr>
    <w:rPr>
      <w:rFonts w:ascii="仿宋" w:hAnsi="仿宋" w:eastAsia="仿宋" w:cs="仿宋"/>
      <w:color w:val="4F81BD"/>
      <w:szCs w:val="21"/>
    </w:rPr>
  </w:style>
  <w:style w:type="character" w:customStyle="1" w:styleId="342">
    <w:name w:val="linkout"/>
    <w:qFormat/>
    <w:uiPriority w:val="0"/>
  </w:style>
  <w:style w:type="character" w:customStyle="1" w:styleId="343">
    <w:name w:val="style71"/>
    <w:qFormat/>
    <w:uiPriority w:val="0"/>
    <w:rPr>
      <w:sz w:val="30"/>
      <w:szCs w:val="30"/>
    </w:rPr>
  </w:style>
  <w:style w:type="character" w:customStyle="1" w:styleId="344">
    <w:name w:val="brandspan"/>
    <w:qFormat/>
    <w:uiPriority w:val="0"/>
  </w:style>
  <w:style w:type="character" w:customStyle="1" w:styleId="345">
    <w:name w:val="introducename"/>
    <w:qFormat/>
    <w:uiPriority w:val="0"/>
  </w:style>
  <w:style w:type="character" w:customStyle="1" w:styleId="346">
    <w:name w:val="apple-converted-space"/>
    <w:qFormat/>
    <w:uiPriority w:val="0"/>
  </w:style>
  <w:style w:type="table" w:customStyle="1" w:styleId="347">
    <w:name w:val="网格型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型3"/>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网格型4"/>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
    <w:name w:val="网格型5"/>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
    <w:name w:val="网格型6"/>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
    <w:name w:val="网格型7"/>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
    <w:name w:val="网格型8"/>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
    <w:name w:val="网格型9"/>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5">
    <w:name w:val="网格型10"/>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
    <w:name w:val="网格型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
    <w:name w:val="网格型1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58">
    <w:name w:val="无间隔1"/>
    <w:link w:val="359"/>
    <w:qFormat/>
    <w:uiPriority w:val="99"/>
    <w:rPr>
      <w:rFonts w:ascii="Calibri" w:hAnsi="Calibri" w:eastAsia="宋体" w:cs="Arial"/>
      <w:sz w:val="22"/>
      <w:szCs w:val="22"/>
      <w:lang w:val="en-US" w:eastAsia="zh-CN" w:bidi="ar-SA"/>
    </w:rPr>
  </w:style>
  <w:style w:type="character" w:customStyle="1" w:styleId="359">
    <w:name w:val="无间隔 Char"/>
    <w:link w:val="358"/>
    <w:qFormat/>
    <w:locked/>
    <w:uiPriority w:val="99"/>
    <w:rPr>
      <w:rFonts w:ascii="Calibri" w:hAnsi="Calibri" w:eastAsia="宋体" w:cs="Arial"/>
      <w:kern w:val="0"/>
      <w:sz w:val="22"/>
    </w:rPr>
  </w:style>
  <w:style w:type="table" w:customStyle="1" w:styleId="360">
    <w:name w:val="网格型13"/>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1">
    <w:name w:val="font5"/>
    <w:basedOn w:val="1"/>
    <w:qFormat/>
    <w:uiPriority w:val="0"/>
    <w:pPr>
      <w:widowControl/>
      <w:spacing w:before="100" w:beforeAutospacing="1" w:after="100" w:afterAutospacing="1" w:line="240" w:lineRule="auto"/>
      <w:jc w:val="left"/>
    </w:pPr>
    <w:rPr>
      <w:rFonts w:cs="宋体"/>
      <w:kern w:val="0"/>
      <w:sz w:val="18"/>
      <w:szCs w:val="18"/>
    </w:rPr>
  </w:style>
  <w:style w:type="paragraph" w:customStyle="1" w:styleId="362">
    <w:name w:val="font6"/>
    <w:basedOn w:val="1"/>
    <w:qFormat/>
    <w:uiPriority w:val="0"/>
    <w:pPr>
      <w:widowControl/>
      <w:spacing w:before="100" w:beforeAutospacing="1" w:after="100" w:afterAutospacing="1" w:line="240" w:lineRule="auto"/>
      <w:jc w:val="left"/>
    </w:pPr>
    <w:rPr>
      <w:rFonts w:ascii="Arial" w:hAnsi="Arial" w:cs="Arial"/>
      <w:b/>
      <w:bCs/>
      <w:kern w:val="0"/>
      <w:sz w:val="20"/>
      <w:szCs w:val="20"/>
    </w:rPr>
  </w:style>
  <w:style w:type="paragraph" w:customStyle="1" w:styleId="363">
    <w:name w:val="font7"/>
    <w:basedOn w:val="1"/>
    <w:qFormat/>
    <w:uiPriority w:val="0"/>
    <w:pPr>
      <w:widowControl/>
      <w:spacing w:before="100" w:beforeAutospacing="1" w:after="100" w:afterAutospacing="1" w:line="240" w:lineRule="auto"/>
      <w:jc w:val="left"/>
    </w:pPr>
    <w:rPr>
      <w:rFonts w:ascii="黑体" w:hAnsi="黑体" w:eastAsia="黑体" w:cs="宋体"/>
      <w:kern w:val="0"/>
      <w:sz w:val="24"/>
    </w:rPr>
  </w:style>
  <w:style w:type="paragraph" w:customStyle="1" w:styleId="364">
    <w:name w:val="font8"/>
    <w:basedOn w:val="1"/>
    <w:qFormat/>
    <w:uiPriority w:val="0"/>
    <w:pPr>
      <w:widowControl/>
      <w:spacing w:before="100" w:beforeAutospacing="1" w:after="100" w:afterAutospacing="1" w:line="240" w:lineRule="auto"/>
      <w:jc w:val="left"/>
    </w:pPr>
    <w:rPr>
      <w:rFonts w:ascii="黑体" w:hAnsi="黑体" w:eastAsia="黑体" w:cs="宋体"/>
      <w:kern w:val="0"/>
      <w:sz w:val="24"/>
    </w:rPr>
  </w:style>
  <w:style w:type="paragraph" w:customStyle="1" w:styleId="365">
    <w:name w:val="xl196"/>
    <w:basedOn w:val="1"/>
    <w:qFormat/>
    <w:uiPriority w:val="0"/>
    <w:pPr>
      <w:widowControl/>
      <w:spacing w:before="100" w:beforeAutospacing="1" w:after="100" w:afterAutospacing="1" w:line="240" w:lineRule="auto"/>
      <w:jc w:val="center"/>
    </w:pPr>
    <w:rPr>
      <w:rFonts w:ascii="黑体" w:hAnsi="黑体" w:eastAsia="黑体" w:cs="宋体"/>
      <w:color w:val="000000"/>
      <w:kern w:val="0"/>
      <w:sz w:val="24"/>
    </w:rPr>
  </w:style>
  <w:style w:type="paragraph" w:customStyle="1" w:styleId="366">
    <w:name w:val="xl197"/>
    <w:basedOn w:val="1"/>
    <w:qFormat/>
    <w:uiPriority w:val="0"/>
    <w:pPr>
      <w:widowControl/>
      <w:spacing w:before="100" w:beforeAutospacing="1" w:after="100" w:afterAutospacing="1" w:line="240" w:lineRule="auto"/>
      <w:jc w:val="center"/>
    </w:pPr>
    <w:rPr>
      <w:rFonts w:ascii="黑体" w:hAnsi="黑体" w:eastAsia="黑体" w:cs="宋体"/>
      <w:kern w:val="0"/>
      <w:sz w:val="24"/>
    </w:rPr>
  </w:style>
  <w:style w:type="paragraph" w:customStyle="1" w:styleId="367">
    <w:name w:val="xl198"/>
    <w:basedOn w:val="1"/>
    <w:qFormat/>
    <w:uiPriority w:val="0"/>
    <w:pPr>
      <w:widowControl/>
      <w:spacing w:before="100" w:beforeAutospacing="1" w:after="100" w:afterAutospacing="1" w:line="240" w:lineRule="auto"/>
      <w:jc w:val="left"/>
    </w:pPr>
    <w:rPr>
      <w:rFonts w:ascii="黑体" w:hAnsi="黑体" w:eastAsia="黑体" w:cs="宋体"/>
      <w:kern w:val="0"/>
      <w:sz w:val="24"/>
    </w:rPr>
  </w:style>
  <w:style w:type="paragraph" w:customStyle="1" w:styleId="368">
    <w:name w:val="xl199"/>
    <w:basedOn w:val="1"/>
    <w:qFormat/>
    <w:uiPriority w:val="0"/>
    <w:pPr>
      <w:widowControl/>
      <w:spacing w:before="100" w:beforeAutospacing="1" w:after="100" w:afterAutospacing="1" w:line="240" w:lineRule="auto"/>
      <w:jc w:val="left"/>
    </w:pPr>
    <w:rPr>
      <w:rFonts w:ascii="黑体" w:hAnsi="黑体" w:eastAsia="黑体" w:cs="宋体"/>
      <w:b/>
      <w:bCs/>
      <w:kern w:val="0"/>
      <w:sz w:val="24"/>
    </w:rPr>
  </w:style>
  <w:style w:type="paragraph" w:customStyle="1" w:styleId="369">
    <w:name w:val="xl200"/>
    <w:basedOn w:val="1"/>
    <w:qFormat/>
    <w:uiPriority w:val="0"/>
    <w:pPr>
      <w:widowControl/>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70">
    <w:name w:val="xl201"/>
    <w:basedOn w:val="1"/>
    <w:qFormat/>
    <w:uiPriority w:val="0"/>
    <w:pPr>
      <w:widowControl/>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71">
    <w:name w:val="xl202"/>
    <w:basedOn w:val="1"/>
    <w:qFormat/>
    <w:uiPriority w:val="0"/>
    <w:pPr>
      <w:widowControl/>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372">
    <w:name w:val="xl203"/>
    <w:basedOn w:val="1"/>
    <w:qFormat/>
    <w:uiPriority w:val="0"/>
    <w:pPr>
      <w:widowControl/>
      <w:spacing w:before="100" w:beforeAutospacing="1" w:after="100" w:afterAutospacing="1" w:line="240" w:lineRule="auto"/>
      <w:jc w:val="left"/>
    </w:pPr>
    <w:rPr>
      <w:rFonts w:ascii="黑体" w:hAnsi="黑体" w:eastAsia="黑体" w:cs="宋体"/>
      <w:kern w:val="0"/>
      <w:sz w:val="24"/>
    </w:rPr>
  </w:style>
  <w:style w:type="paragraph" w:customStyle="1" w:styleId="373">
    <w:name w:val="xl204"/>
    <w:basedOn w:val="1"/>
    <w:qFormat/>
    <w:uiPriority w:val="0"/>
    <w:pPr>
      <w:widowControl/>
      <w:shd w:val="clear" w:color="000000" w:fill="FFFF00"/>
      <w:spacing w:before="100" w:beforeAutospacing="1" w:after="100" w:afterAutospacing="1" w:line="240" w:lineRule="auto"/>
      <w:jc w:val="left"/>
    </w:pPr>
    <w:rPr>
      <w:rFonts w:ascii="黑体" w:hAnsi="黑体" w:eastAsia="黑体" w:cs="宋体"/>
      <w:kern w:val="0"/>
      <w:sz w:val="24"/>
    </w:rPr>
  </w:style>
  <w:style w:type="paragraph" w:customStyle="1" w:styleId="374">
    <w:name w:val="xl205"/>
    <w:basedOn w:val="1"/>
    <w:qFormat/>
    <w:uiPriority w:val="0"/>
    <w:pPr>
      <w:widowControl/>
      <w:shd w:val="clear" w:color="000000" w:fill="FFFF00"/>
      <w:spacing w:before="100" w:beforeAutospacing="1" w:after="100" w:afterAutospacing="1" w:line="240" w:lineRule="auto"/>
      <w:jc w:val="left"/>
    </w:pPr>
    <w:rPr>
      <w:rFonts w:ascii="黑体" w:hAnsi="黑体" w:eastAsia="黑体" w:cs="宋体"/>
      <w:b/>
      <w:bCs/>
      <w:kern w:val="0"/>
      <w:sz w:val="24"/>
    </w:rPr>
  </w:style>
  <w:style w:type="paragraph" w:customStyle="1" w:styleId="375">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376">
    <w:name w:val="xl207"/>
    <w:basedOn w:val="1"/>
    <w:qFormat/>
    <w:uiPriority w:val="0"/>
    <w:pPr>
      <w:widowControl/>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77">
    <w:name w:val="xl2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378">
    <w:name w:val="xl2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379">
    <w:name w:val="xl2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80">
    <w:name w:val="xl211"/>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81">
    <w:name w:val="xl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82">
    <w:name w:val="xl213"/>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83">
    <w:name w:val="xl2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384">
    <w:name w:val="xl2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85">
    <w:name w:val="xl2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kern w:val="0"/>
      <w:sz w:val="24"/>
    </w:rPr>
  </w:style>
  <w:style w:type="paragraph" w:customStyle="1" w:styleId="386">
    <w:name w:val="xl2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87">
    <w:name w:val="xl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88">
    <w:name w:val="xl2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89">
    <w:name w:val="xl2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390">
    <w:name w:val="xl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391">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kern w:val="0"/>
      <w:sz w:val="24"/>
    </w:rPr>
  </w:style>
  <w:style w:type="paragraph" w:customStyle="1" w:styleId="392">
    <w:name w:val="xl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93">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color w:val="FFFFFF"/>
      <w:kern w:val="0"/>
      <w:sz w:val="24"/>
    </w:rPr>
  </w:style>
  <w:style w:type="paragraph" w:customStyle="1" w:styleId="394">
    <w:name w:val="xl22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pPr>
    <w:rPr>
      <w:rFonts w:ascii="黑体" w:hAnsi="黑体" w:eastAsia="黑体" w:cs="宋体"/>
      <w:b/>
      <w:bCs/>
      <w:kern w:val="0"/>
      <w:sz w:val="24"/>
    </w:rPr>
  </w:style>
  <w:style w:type="paragraph" w:customStyle="1" w:styleId="395">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color w:val="000000"/>
      <w:kern w:val="0"/>
      <w:sz w:val="24"/>
    </w:rPr>
  </w:style>
  <w:style w:type="paragraph" w:customStyle="1" w:styleId="396">
    <w:name w:val="xl2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黑体" w:hAnsi="黑体" w:eastAsia="黑体" w:cs="宋体"/>
      <w:kern w:val="0"/>
      <w:sz w:val="24"/>
    </w:rPr>
  </w:style>
  <w:style w:type="paragraph" w:customStyle="1" w:styleId="397">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kern w:val="0"/>
      <w:sz w:val="24"/>
    </w:rPr>
  </w:style>
  <w:style w:type="paragraph" w:customStyle="1" w:styleId="398">
    <w:name w:val="xl2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kern w:val="0"/>
      <w:sz w:val="24"/>
    </w:rPr>
  </w:style>
  <w:style w:type="paragraph" w:customStyle="1" w:styleId="399">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kern w:val="0"/>
      <w:sz w:val="24"/>
    </w:rPr>
  </w:style>
  <w:style w:type="paragraph" w:customStyle="1" w:styleId="400">
    <w:name w:val="xl23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01">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02">
    <w:name w:val="xl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03">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center"/>
    </w:pPr>
    <w:rPr>
      <w:rFonts w:ascii="黑体" w:hAnsi="黑体" w:eastAsia="黑体" w:cs="宋体"/>
      <w:kern w:val="0"/>
      <w:sz w:val="24"/>
    </w:rPr>
  </w:style>
  <w:style w:type="paragraph" w:customStyle="1" w:styleId="404">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05">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06">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color w:val="FF0000"/>
      <w:kern w:val="0"/>
      <w:sz w:val="24"/>
    </w:rPr>
  </w:style>
  <w:style w:type="paragraph" w:customStyle="1" w:styleId="407">
    <w:name w:val="xl2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b/>
      <w:bCs/>
      <w:i/>
      <w:iCs/>
      <w:kern w:val="0"/>
      <w:sz w:val="32"/>
      <w:szCs w:val="32"/>
    </w:rPr>
  </w:style>
  <w:style w:type="paragraph" w:customStyle="1" w:styleId="408">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cs="宋体"/>
      <w:kern w:val="0"/>
      <w:sz w:val="24"/>
    </w:rPr>
  </w:style>
  <w:style w:type="paragraph" w:customStyle="1" w:styleId="409">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cs="宋体"/>
      <w:kern w:val="0"/>
      <w:sz w:val="24"/>
    </w:rPr>
  </w:style>
  <w:style w:type="paragraph" w:customStyle="1" w:styleId="410">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color w:val="000000"/>
      <w:kern w:val="0"/>
      <w:sz w:val="24"/>
    </w:rPr>
  </w:style>
  <w:style w:type="paragraph" w:customStyle="1" w:styleId="411">
    <w:name w:val="xl2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cs="宋体"/>
      <w:kern w:val="0"/>
      <w:sz w:val="24"/>
    </w:rPr>
  </w:style>
  <w:style w:type="paragraph" w:customStyle="1" w:styleId="412">
    <w:name w:val="xl24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left"/>
    </w:pPr>
    <w:rPr>
      <w:rFonts w:cs="宋体"/>
      <w:kern w:val="0"/>
      <w:sz w:val="24"/>
    </w:rPr>
  </w:style>
  <w:style w:type="paragraph" w:customStyle="1" w:styleId="413">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cs="宋体"/>
      <w:kern w:val="0"/>
      <w:sz w:val="24"/>
    </w:rPr>
  </w:style>
  <w:style w:type="paragraph" w:customStyle="1" w:styleId="414">
    <w:name w:val="xl2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sz w:val="24"/>
    </w:rPr>
  </w:style>
  <w:style w:type="paragraph" w:customStyle="1" w:styleId="415">
    <w:name w:val="xl2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sz w:val="24"/>
    </w:rPr>
  </w:style>
  <w:style w:type="paragraph" w:customStyle="1" w:styleId="416">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sz w:val="24"/>
    </w:rPr>
  </w:style>
  <w:style w:type="paragraph" w:customStyle="1" w:styleId="417">
    <w:name w:val="xl2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cs="宋体"/>
      <w:b/>
      <w:bCs/>
      <w:kern w:val="0"/>
      <w:sz w:val="24"/>
    </w:rPr>
  </w:style>
  <w:style w:type="paragraph" w:customStyle="1" w:styleId="418">
    <w:name w:val="xl2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sz w:val="24"/>
    </w:rPr>
  </w:style>
  <w:style w:type="paragraph" w:customStyle="1" w:styleId="419">
    <w:name w:val="xl2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黑体" w:hAnsi="黑体" w:eastAsia="黑体" w:cs="宋体"/>
      <w:kern w:val="0"/>
      <w:sz w:val="24"/>
    </w:rPr>
  </w:style>
  <w:style w:type="paragraph" w:customStyle="1" w:styleId="420">
    <w:name w:val="xl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黑体" w:hAnsi="黑体" w:eastAsia="黑体" w:cs="宋体"/>
      <w:kern w:val="0"/>
      <w:sz w:val="24"/>
    </w:rPr>
  </w:style>
  <w:style w:type="paragraph" w:customStyle="1" w:styleId="422">
    <w:name w:val="xl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3">
    <w:name w:val="xl2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4">
    <w:name w:val="xl25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5">
    <w:name w:val="xl25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6">
    <w:name w:val="xl25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7">
    <w:name w:val="xl25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8">
    <w:name w:val="xl25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29">
    <w:name w:val="xl260"/>
    <w:basedOn w:val="1"/>
    <w:qFormat/>
    <w:uiPriority w:val="0"/>
    <w:pPr>
      <w:widowControl/>
      <w:pBdr>
        <w:right w:val="single" w:color="auto" w:sz="4" w:space="0"/>
      </w:pBdr>
      <w:shd w:val="clear" w:color="000000" w:fill="FFFFFF"/>
      <w:spacing w:before="100" w:beforeAutospacing="1" w:after="100" w:afterAutospacing="1" w:line="240" w:lineRule="auto"/>
      <w:jc w:val="left"/>
      <w:textAlignment w:val="center"/>
    </w:pPr>
    <w:rPr>
      <w:rFonts w:ascii="黑体" w:hAnsi="黑体" w:eastAsia="黑体" w:cs="宋体"/>
      <w:kern w:val="0"/>
      <w:sz w:val="24"/>
    </w:rPr>
  </w:style>
  <w:style w:type="paragraph" w:customStyle="1" w:styleId="430">
    <w:name w:val="xl26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黑体" w:hAnsi="黑体" w:eastAsia="黑体" w:cs="宋体"/>
      <w:kern w:val="0"/>
      <w:sz w:val="24"/>
    </w:rPr>
  </w:style>
  <w:style w:type="paragraph" w:customStyle="1" w:styleId="431">
    <w:name w:val="xl26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32">
    <w:name w:val="xl26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33">
    <w:name w:val="xl26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34">
    <w:name w:val="xl265"/>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35">
    <w:name w:val="xl26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36">
    <w:name w:val="xl267"/>
    <w:basedOn w:val="1"/>
    <w:qFormat/>
    <w:uiPriority w:val="0"/>
    <w:pPr>
      <w:widowControl/>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37">
    <w:name w:val="xl268"/>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38">
    <w:name w:val="xl269"/>
    <w:basedOn w:val="1"/>
    <w:qFormat/>
    <w:uiPriority w:val="0"/>
    <w:pPr>
      <w:widowControl/>
      <w:pBdr>
        <w:lef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39">
    <w:name w:val="xl270"/>
    <w:basedOn w:val="1"/>
    <w:qFormat/>
    <w:uiPriority w:val="0"/>
    <w:pPr>
      <w:widowControl/>
      <w:pBdr>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0">
    <w:name w:val="xl2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41">
    <w:name w:val="xl27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kern w:val="0"/>
      <w:sz w:val="24"/>
    </w:rPr>
  </w:style>
  <w:style w:type="paragraph" w:customStyle="1" w:styleId="442">
    <w:name w:val="xl27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3">
    <w:name w:val="xl2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4">
    <w:name w:val="xl27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5">
    <w:name w:val="xl276"/>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6">
    <w:name w:val="xl27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7">
    <w:name w:val="xl2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8">
    <w:name w:val="xl27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paragraph" w:customStyle="1" w:styleId="449">
    <w:name w:val="xl280"/>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黑体" w:hAnsi="黑体" w:eastAsia="黑体" w:cs="宋体"/>
      <w:kern w:val="0"/>
      <w:sz w:val="24"/>
    </w:rPr>
  </w:style>
  <w:style w:type="character" w:customStyle="1" w:styleId="450">
    <w:name w:val="正文首行缩进 Char2"/>
    <w:qFormat/>
    <w:uiPriority w:val="0"/>
    <w:rPr>
      <w:rFonts w:ascii="宋体" w:hAnsi="宋体"/>
      <w:szCs w:val="24"/>
    </w:rPr>
  </w:style>
  <w:style w:type="paragraph" w:customStyle="1" w:styleId="451">
    <w:name w:val="列出段落111"/>
    <w:qFormat/>
    <w:uiPriority w:val="34"/>
    <w:pPr>
      <w:ind w:firstLine="420" w:firstLineChars="200"/>
    </w:pPr>
    <w:rPr>
      <w:rFonts w:ascii="Times New Roman" w:hAnsi="Times New Roman" w:eastAsia="宋体" w:cs="Times New Roman"/>
      <w:sz w:val="21"/>
      <w:szCs w:val="22"/>
      <w:lang w:val="en-US" w:eastAsia="zh-CN" w:bidi="ar-SA"/>
    </w:rPr>
  </w:style>
  <w:style w:type="table" w:customStyle="1" w:styleId="452">
    <w:name w:val="网格型14"/>
    <w:basedOn w:val="4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网格型15"/>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4">
    <w:name w:val="网格型2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5">
    <w:name w:val="网格型3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6">
    <w:name w:val="网格型4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7">
    <w:name w:val="网格型5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8">
    <w:name w:val="网格型6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9">
    <w:name w:val="网格型7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0">
    <w:name w:val="网格型8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1">
    <w:name w:val="网格型9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2">
    <w:name w:val="网格型10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3">
    <w:name w:val="网格型1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4">
    <w:name w:val="网格型12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5">
    <w:name w:val="网格型13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6">
    <w:name w:val="修订21"/>
    <w:qFormat/>
    <w:uiPriority w:val="0"/>
    <w:rPr>
      <w:rFonts w:ascii="Times New Roman" w:hAnsi="Times New Roman" w:eastAsia="宋体" w:cs="Times New Roman"/>
      <w:kern w:val="2"/>
      <w:sz w:val="21"/>
      <w:szCs w:val="24"/>
      <w:lang w:val="en-US" w:eastAsia="zh-CN" w:bidi="ar-SA"/>
    </w:rPr>
  </w:style>
  <w:style w:type="paragraph" w:customStyle="1" w:styleId="467">
    <w:name w:val="文本正文"/>
    <w:basedOn w:val="1"/>
    <w:link w:val="468"/>
    <w:qFormat/>
    <w:uiPriority w:val="0"/>
    <w:pPr>
      <w:spacing w:line="400" w:lineRule="exact"/>
    </w:pPr>
  </w:style>
  <w:style w:type="character" w:customStyle="1" w:styleId="468">
    <w:name w:val="文本正文 Char"/>
    <w:link w:val="467"/>
    <w:qFormat/>
    <w:uiPriority w:val="0"/>
    <w:rPr>
      <w:rFonts w:ascii="Times New Roman" w:hAnsi="Times New Roman" w:eastAsia="宋体" w:cs="Times New Roman"/>
      <w:szCs w:val="24"/>
    </w:rPr>
  </w:style>
  <w:style w:type="paragraph" w:customStyle="1" w:styleId="469">
    <w:name w:val="P0"/>
    <w:basedOn w:val="1"/>
    <w:qFormat/>
    <w:uiPriority w:val="99"/>
    <w:pPr>
      <w:widowControl/>
      <w:spacing w:before="120" w:after="120"/>
      <w:ind w:left="1080"/>
    </w:pPr>
    <w:rPr>
      <w:rFonts w:ascii="Arial" w:hAnsi="Arial"/>
      <w:kern w:val="0"/>
      <w:sz w:val="24"/>
      <w:szCs w:val="20"/>
    </w:rPr>
  </w:style>
  <w:style w:type="character" w:customStyle="1" w:styleId="470">
    <w:name w:val="段 Char"/>
    <w:link w:val="471"/>
    <w:qFormat/>
    <w:locked/>
    <w:uiPriority w:val="0"/>
    <w:rPr>
      <w:szCs w:val="21"/>
    </w:rPr>
  </w:style>
  <w:style w:type="paragraph" w:customStyle="1" w:styleId="471">
    <w:name w:val="段"/>
    <w:basedOn w:val="1"/>
    <w:link w:val="470"/>
    <w:qFormat/>
    <w:uiPriority w:val="0"/>
    <w:pPr>
      <w:spacing w:line="240" w:lineRule="auto"/>
      <w:ind w:firstLine="425"/>
    </w:pPr>
    <w:rPr>
      <w:rFonts w:asciiTheme="minorHAnsi" w:hAnsiTheme="minorHAnsi" w:eastAsiaTheme="minorEastAsia" w:cstheme="minorBidi"/>
      <w:szCs w:val="21"/>
    </w:rPr>
  </w:style>
  <w:style w:type="paragraph" w:customStyle="1" w:styleId="472">
    <w:name w:val="附录标题"/>
    <w:basedOn w:val="1"/>
    <w:next w:val="471"/>
    <w:qFormat/>
    <w:uiPriority w:val="99"/>
    <w:pPr>
      <w:widowControl/>
      <w:numPr>
        <w:ilvl w:val="0"/>
        <w:numId w:val="17"/>
      </w:numPr>
      <w:spacing w:before="560" w:after="160" w:line="240" w:lineRule="auto"/>
      <w:ind w:left="0"/>
      <w:jc w:val="center"/>
      <w:outlineLvl w:val="0"/>
    </w:pPr>
    <w:rPr>
      <w:rFonts w:ascii="黑体" w:eastAsia="黑体"/>
      <w:kern w:val="0"/>
      <w:szCs w:val="20"/>
    </w:rPr>
  </w:style>
  <w:style w:type="paragraph" w:customStyle="1" w:styleId="473">
    <w:name w:val="附录条1"/>
    <w:basedOn w:val="1"/>
    <w:next w:val="471"/>
    <w:qFormat/>
    <w:uiPriority w:val="99"/>
    <w:pPr>
      <w:numPr>
        <w:ilvl w:val="2"/>
        <w:numId w:val="17"/>
      </w:numPr>
      <w:spacing w:beforeLines="50" w:afterLines="50" w:line="240" w:lineRule="auto"/>
      <w:outlineLvl w:val="2"/>
    </w:pPr>
    <w:rPr>
      <w:rFonts w:ascii="黑体" w:eastAsia="黑体"/>
      <w:kern w:val="21"/>
      <w:szCs w:val="20"/>
    </w:rPr>
  </w:style>
  <w:style w:type="paragraph" w:customStyle="1" w:styleId="474">
    <w:name w:val="附录条2"/>
    <w:basedOn w:val="1"/>
    <w:next w:val="471"/>
    <w:qFormat/>
    <w:uiPriority w:val="99"/>
    <w:pPr>
      <w:spacing w:beforeLines="50" w:afterLines="50" w:line="240" w:lineRule="auto"/>
      <w:outlineLvl w:val="3"/>
    </w:pPr>
    <w:rPr>
      <w:rFonts w:ascii="黑体" w:eastAsia="黑体"/>
      <w:kern w:val="21"/>
      <w:szCs w:val="20"/>
    </w:rPr>
  </w:style>
  <w:style w:type="paragraph" w:customStyle="1" w:styleId="475">
    <w:name w:val="附录条3"/>
    <w:basedOn w:val="1"/>
    <w:next w:val="471"/>
    <w:qFormat/>
    <w:uiPriority w:val="99"/>
    <w:pPr>
      <w:spacing w:beforeLines="50" w:afterLines="50" w:line="240" w:lineRule="auto"/>
      <w:outlineLvl w:val="4"/>
    </w:pPr>
    <w:rPr>
      <w:rFonts w:ascii="黑体" w:eastAsia="黑体"/>
      <w:kern w:val="21"/>
      <w:szCs w:val="20"/>
    </w:rPr>
  </w:style>
  <w:style w:type="paragraph" w:customStyle="1" w:styleId="476">
    <w:name w:val="附录条4"/>
    <w:basedOn w:val="1"/>
    <w:next w:val="471"/>
    <w:qFormat/>
    <w:uiPriority w:val="99"/>
    <w:pPr>
      <w:spacing w:beforeLines="50" w:afterLines="50" w:line="240" w:lineRule="auto"/>
      <w:outlineLvl w:val="5"/>
    </w:pPr>
    <w:rPr>
      <w:rFonts w:ascii="黑体" w:eastAsia="黑体"/>
      <w:kern w:val="21"/>
      <w:szCs w:val="20"/>
    </w:rPr>
  </w:style>
  <w:style w:type="paragraph" w:customStyle="1" w:styleId="477">
    <w:name w:val="附录条5"/>
    <w:basedOn w:val="1"/>
    <w:next w:val="471"/>
    <w:qFormat/>
    <w:uiPriority w:val="99"/>
    <w:pPr>
      <w:spacing w:beforeLines="50" w:afterLines="50" w:line="240" w:lineRule="auto"/>
      <w:outlineLvl w:val="6"/>
    </w:pPr>
    <w:rPr>
      <w:rFonts w:ascii="黑体" w:eastAsia="黑体"/>
      <w:kern w:val="21"/>
      <w:szCs w:val="20"/>
    </w:rPr>
  </w:style>
  <w:style w:type="paragraph" w:customStyle="1" w:styleId="478">
    <w:name w:val="附录章"/>
    <w:basedOn w:val="1"/>
    <w:next w:val="471"/>
    <w:qFormat/>
    <w:uiPriority w:val="99"/>
    <w:pPr>
      <w:adjustRightInd w:val="0"/>
      <w:spacing w:beforeLines="100" w:afterLines="100" w:line="240" w:lineRule="auto"/>
      <w:outlineLvl w:val="1"/>
    </w:pPr>
    <w:rPr>
      <w:rFonts w:ascii="黑体" w:eastAsia="黑体"/>
      <w:kern w:val="21"/>
      <w:szCs w:val="20"/>
    </w:rPr>
  </w:style>
  <w:style w:type="paragraph" w:customStyle="1" w:styleId="479">
    <w:name w:val="附录图题"/>
    <w:basedOn w:val="1"/>
    <w:next w:val="471"/>
    <w:qFormat/>
    <w:uiPriority w:val="99"/>
    <w:pPr>
      <w:numPr>
        <w:ilvl w:val="1"/>
        <w:numId w:val="18"/>
      </w:numPr>
      <w:spacing w:beforeLines="50" w:afterLines="50" w:line="240" w:lineRule="auto"/>
      <w:ind w:left="0"/>
      <w:jc w:val="center"/>
    </w:pPr>
    <w:rPr>
      <w:rFonts w:ascii="黑体" w:eastAsia="黑体"/>
      <w:szCs w:val="21"/>
    </w:rPr>
  </w:style>
  <w:style w:type="paragraph" w:customStyle="1" w:styleId="480">
    <w:name w:val="附录表题"/>
    <w:basedOn w:val="1"/>
    <w:next w:val="471"/>
    <w:qFormat/>
    <w:uiPriority w:val="99"/>
    <w:pPr>
      <w:spacing w:beforeLines="50" w:afterLines="50" w:line="240" w:lineRule="auto"/>
      <w:jc w:val="center"/>
    </w:pPr>
    <w:rPr>
      <w:rFonts w:ascii="黑体" w:eastAsia="黑体"/>
      <w:szCs w:val="21"/>
    </w:rPr>
  </w:style>
  <w:style w:type="paragraph" w:customStyle="1" w:styleId="481">
    <w:name w:val="附录图标号"/>
    <w:basedOn w:val="1"/>
    <w:next w:val="471"/>
    <w:qFormat/>
    <w:uiPriority w:val="99"/>
    <w:pPr>
      <w:spacing w:line="14" w:lineRule="exact"/>
      <w:ind w:left="-279"/>
    </w:pPr>
    <w:rPr>
      <w:color w:val="FFFFFF"/>
      <w:szCs w:val="21"/>
    </w:rPr>
  </w:style>
  <w:style w:type="paragraph" w:customStyle="1" w:styleId="482">
    <w:name w:val="附录表标号"/>
    <w:basedOn w:val="1"/>
    <w:next w:val="471"/>
    <w:qFormat/>
    <w:uiPriority w:val="99"/>
    <w:pPr>
      <w:spacing w:line="14" w:lineRule="exact"/>
    </w:pPr>
    <w:rPr>
      <w:color w:val="FFFFFF"/>
      <w:szCs w:val="21"/>
    </w:rPr>
  </w:style>
  <w:style w:type="table" w:customStyle="1" w:styleId="483">
    <w:name w:val="网格表 1 浅色1"/>
    <w:basedOn w:val="4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484">
    <w:name w:val="修订41"/>
    <w:hidden/>
    <w:qFormat/>
    <w:uiPriority w:val="99"/>
    <w:rPr>
      <w:rFonts w:ascii="Times New Roman" w:hAnsi="Times New Roman" w:eastAsia="宋体" w:cs="Times New Roman"/>
      <w:kern w:val="2"/>
      <w:sz w:val="21"/>
      <w:szCs w:val="24"/>
      <w:lang w:val="en-US" w:eastAsia="zh-CN" w:bidi="ar-SA"/>
    </w:rPr>
  </w:style>
  <w:style w:type="table" w:customStyle="1" w:styleId="485">
    <w:name w:val="网格型16"/>
    <w:basedOn w:val="4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le Normal2"/>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487">
    <w:name w:val="Table Normal1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488">
    <w:name w:val="网格型17"/>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9">
    <w:name w:val="网格型2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0">
    <w:name w:val="网格型3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1">
    <w:name w:val="网格型4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2">
    <w:name w:val="网格型5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3">
    <w:name w:val="网格型6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4">
    <w:name w:val="网格型7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5">
    <w:name w:val="网格型8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6">
    <w:name w:val="网格型9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7">
    <w:name w:val="网格型10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8">
    <w:name w:val="网格型11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9">
    <w:name w:val="网格型12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0">
    <w:name w:val="网格型132"/>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1">
    <w:name w:val="网格型141"/>
    <w:basedOn w:val="4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网格型15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3">
    <w:name w:val="网格型2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4">
    <w:name w:val="网格型3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5">
    <w:name w:val="网格型4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6">
    <w:name w:val="网格型5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7">
    <w:name w:val="网格型6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8">
    <w:name w:val="网格型7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9">
    <w:name w:val="网格型8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网格型9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1">
    <w:name w:val="网格型10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2">
    <w:name w:val="网格型11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3">
    <w:name w:val="网格型12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4">
    <w:name w:val="网格型1311"/>
    <w:qFormat/>
    <w:uiPriority w:val="9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5">
    <w:name w:val="网格表 1 浅色11"/>
    <w:basedOn w:val="4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516">
    <w:name w:val="修订5"/>
    <w:hidden/>
    <w:qFormat/>
    <w:uiPriority w:val="99"/>
    <w:rPr>
      <w:rFonts w:ascii="Times New Roman" w:hAnsi="Times New Roman" w:eastAsia="宋体" w:cs="Times New Roman"/>
      <w:kern w:val="2"/>
      <w:sz w:val="21"/>
      <w:szCs w:val="24"/>
      <w:lang w:val="en-US" w:eastAsia="zh-CN" w:bidi="ar-SA"/>
    </w:rPr>
  </w:style>
  <w:style w:type="paragraph" w:customStyle="1" w:styleId="517">
    <w:name w:val="_Style 349"/>
    <w:basedOn w:val="1"/>
    <w:next w:val="1"/>
    <w:unhideWhenUsed/>
    <w:qFormat/>
    <w:uiPriority w:val="39"/>
    <w:pPr>
      <w:widowControl/>
      <w:wordWrap w:val="0"/>
      <w:topLinePunct/>
      <w:adjustRightInd w:val="0"/>
      <w:snapToGrid w:val="0"/>
      <w:spacing w:afterLines="50"/>
      <w:ind w:left="2520" w:leftChars="1200" w:firstLine="480" w:firstLineChars="200"/>
    </w:pPr>
    <w:rPr>
      <w:kern w:val="0"/>
      <w:szCs w:val="20"/>
    </w:rPr>
  </w:style>
  <w:style w:type="table" w:customStyle="1" w:styleId="518">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19"/>
    <w:basedOn w:val="46"/>
    <w:qFormat/>
    <w:uiPriority w:val="39"/>
    <w:rPr>
      <w:rFonts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20">
    <w:name w:val="第三层"/>
    <w:basedOn w:val="4"/>
    <w:link w:val="521"/>
    <w:qFormat/>
    <w:uiPriority w:val="0"/>
    <w:pPr>
      <w:spacing w:line="416" w:lineRule="auto"/>
      <w:ind w:firstLine="0" w:firstLineChars="0"/>
      <w:jc w:val="center"/>
    </w:pPr>
    <w:rPr>
      <w:rFonts w:ascii="Times New Roman" w:hAnsi="Times New Roman"/>
      <w:szCs w:val="32"/>
    </w:rPr>
  </w:style>
  <w:style w:type="character" w:customStyle="1" w:styleId="521">
    <w:name w:val="第三层 Char"/>
    <w:link w:val="520"/>
    <w:qFormat/>
    <w:uiPriority w:val="0"/>
    <w:rPr>
      <w:rFonts w:ascii="Times New Roman" w:hAnsi="Times New Roman" w:eastAsia="黑体" w:cs="Times New Roman"/>
      <w:bCs/>
      <w:sz w:val="28"/>
      <w:szCs w:val="32"/>
    </w:rPr>
  </w:style>
  <w:style w:type="paragraph" w:customStyle="1" w:styleId="522">
    <w:name w:val="条新3"/>
    <w:basedOn w:val="1"/>
    <w:qFormat/>
    <w:uiPriority w:val="0"/>
    <w:pPr>
      <w:numPr>
        <w:ilvl w:val="3"/>
        <w:numId w:val="19"/>
      </w:numPr>
      <w:spacing w:line="240" w:lineRule="auto"/>
      <w:ind w:firstLine="0"/>
    </w:pPr>
  </w:style>
  <w:style w:type="paragraph" w:customStyle="1" w:styleId="523">
    <w:name w:val="msolistparagraph"/>
    <w:basedOn w:val="1"/>
    <w:qFormat/>
    <w:uiPriority w:val="0"/>
    <w:pPr>
      <w:spacing w:line="240" w:lineRule="auto"/>
      <w:ind w:firstLine="420" w:firstLineChars="200"/>
    </w:pPr>
  </w:style>
  <w:style w:type="paragraph" w:customStyle="1" w:styleId="524">
    <w:name w:val="目录1"/>
    <w:basedOn w:val="1"/>
    <w:qFormat/>
    <w:uiPriority w:val="0"/>
    <w:pPr>
      <w:adjustRightInd w:val="0"/>
      <w:spacing w:line="288" w:lineRule="auto"/>
      <w:jc w:val="center"/>
    </w:pPr>
    <w:rPr>
      <w:b/>
      <w:kern w:val="0"/>
      <w:sz w:val="48"/>
      <w:szCs w:val="48"/>
    </w:rPr>
  </w:style>
  <w:style w:type="paragraph" w:customStyle="1" w:styleId="525">
    <w:name w:val="目录"/>
    <w:basedOn w:val="1"/>
    <w:qFormat/>
    <w:uiPriority w:val="0"/>
    <w:pPr>
      <w:adjustRightInd w:val="0"/>
      <w:spacing w:line="288" w:lineRule="auto"/>
      <w:jc w:val="center"/>
    </w:pPr>
    <w:rPr>
      <w:b/>
      <w:kern w:val="0"/>
      <w:sz w:val="62"/>
      <w:szCs w:val="62"/>
    </w:rPr>
  </w:style>
  <w:style w:type="paragraph" w:customStyle="1" w:styleId="526">
    <w:name w:val="msonospacing"/>
    <w:basedOn w:val="1"/>
    <w:qFormat/>
    <w:uiPriority w:val="0"/>
    <w:pPr>
      <w:spacing w:line="240" w:lineRule="auto"/>
    </w:pPr>
    <w:rPr>
      <w:rFonts w:ascii="Calibri" w:hAnsi="Calibri"/>
      <w:szCs w:val="22"/>
    </w:rPr>
  </w:style>
  <w:style w:type="character" w:customStyle="1" w:styleId="527">
    <w:name w:val="第3层次 Char"/>
    <w:qFormat/>
    <w:uiPriority w:val="0"/>
    <w:rPr>
      <w:rFonts w:hint="eastAsia" w:ascii="宋体" w:hAnsi="宋体" w:eastAsia="宋体" w:cs="Times New Roman"/>
      <w:b/>
      <w:kern w:val="0"/>
      <w:sz w:val="28"/>
      <w:szCs w:val="24"/>
    </w:rPr>
  </w:style>
  <w:style w:type="character" w:customStyle="1" w:styleId="528">
    <w:name w:val="第四层 Char"/>
    <w:qFormat/>
    <w:uiPriority w:val="0"/>
    <w:rPr>
      <w:rFonts w:hint="eastAsia" w:ascii="宋体" w:hAnsi="宋体" w:eastAsia="黑体" w:cs="Times New Roman"/>
      <w:bCs/>
      <w:sz w:val="24"/>
      <w:szCs w:val="28"/>
    </w:rPr>
  </w:style>
  <w:style w:type="character" w:customStyle="1" w:styleId="529">
    <w:name w:val="第二层 Char"/>
    <w:qFormat/>
    <w:uiPriority w:val="0"/>
    <w:rPr>
      <w:rFonts w:hint="default" w:ascii="Cambria" w:hAnsi="Cambria" w:eastAsia="黑体" w:cs="Times New Roman"/>
      <w:bCs/>
      <w:sz w:val="32"/>
      <w:szCs w:val="36"/>
    </w:rPr>
  </w:style>
  <w:style w:type="character" w:customStyle="1" w:styleId="530">
    <w:name w:val="第一层 Char"/>
    <w:qFormat/>
    <w:uiPriority w:val="0"/>
    <w:rPr>
      <w:rFonts w:hint="default" w:ascii="Times New Roman" w:hAnsi="Times New Roman" w:eastAsia="黑体" w:cs="Times New Roman"/>
      <w:bCs/>
      <w:kern w:val="44"/>
      <w:sz w:val="32"/>
      <w:szCs w:val="44"/>
    </w:rPr>
  </w:style>
  <w:style w:type="character" w:customStyle="1" w:styleId="531">
    <w:name w:val="第4层次 Char"/>
    <w:qFormat/>
    <w:uiPriority w:val="0"/>
    <w:rPr>
      <w:rFonts w:hint="eastAsia" w:ascii="宋体" w:hAnsi="宋体" w:eastAsia="宋体" w:cs="Times New Roman"/>
      <w:b/>
      <w:sz w:val="24"/>
      <w:szCs w:val="24"/>
    </w:rPr>
  </w:style>
  <w:style w:type="paragraph" w:customStyle="1" w:styleId="532">
    <w:name w:val="条3"/>
    <w:basedOn w:val="1"/>
    <w:next w:val="1"/>
    <w:qFormat/>
    <w:uiPriority w:val="0"/>
    <w:pPr>
      <w:spacing w:line="240" w:lineRule="auto"/>
      <w:ind w:left="142"/>
    </w:pPr>
    <w:rPr>
      <w:rFonts w:eastAsia="黑体"/>
      <w:kern w:val="21"/>
      <w:szCs w:val="21"/>
    </w:rPr>
  </w:style>
  <w:style w:type="character" w:customStyle="1" w:styleId="533">
    <w:name w:val="文档结构图 字符"/>
    <w:qFormat/>
    <w:uiPriority w:val="99"/>
    <w:rPr>
      <w:rFonts w:ascii="宋体" w:hAnsi="Calibri" w:cs="Times New Roman"/>
      <w:kern w:val="2"/>
      <w:sz w:val="24"/>
      <w:szCs w:val="24"/>
    </w:rPr>
  </w:style>
  <w:style w:type="character" w:customStyle="1" w:styleId="534">
    <w:name w:val="页眉 字符"/>
    <w:qFormat/>
    <w:uiPriority w:val="99"/>
    <w:rPr>
      <w:rFonts w:ascii="宋体" w:hAnsi="宋体" w:cs="Times New Roman"/>
      <w:kern w:val="2"/>
      <w:sz w:val="18"/>
      <w:szCs w:val="18"/>
    </w:rPr>
  </w:style>
  <w:style w:type="character" w:customStyle="1" w:styleId="535">
    <w:name w:val="纯文本 字符"/>
    <w:qFormat/>
    <w:uiPriority w:val="0"/>
    <w:rPr>
      <w:rFonts w:ascii="宋体" w:hAnsi="宋体" w:eastAsia="宋体" w:cs="宋体"/>
      <w:kern w:val="2"/>
      <w:sz w:val="24"/>
      <w:szCs w:val="24"/>
    </w:rPr>
  </w:style>
  <w:style w:type="character" w:customStyle="1" w:styleId="536">
    <w:name w:val="副标题 字符"/>
    <w:qFormat/>
    <w:uiPriority w:val="11"/>
    <w:rPr>
      <w:rFonts w:ascii="宋体" w:hAnsi="宋体" w:cs="Times New Roman"/>
      <w:b/>
      <w:bCs/>
      <w:kern w:val="28"/>
      <w:sz w:val="24"/>
      <w:szCs w:val="32"/>
    </w:rPr>
  </w:style>
  <w:style w:type="character" w:customStyle="1" w:styleId="537">
    <w:name w:val="标题 9 字符"/>
    <w:qFormat/>
    <w:uiPriority w:val="0"/>
    <w:rPr>
      <w:rFonts w:ascii="CG Times" w:hAnsi="CG Times"/>
      <w:b/>
      <w:smallCaps/>
      <w:sz w:val="21"/>
      <w:lang w:val="en-GB"/>
    </w:rPr>
  </w:style>
  <w:style w:type="character" w:customStyle="1" w:styleId="538">
    <w:name w:val="批注文字 字符"/>
    <w:qFormat/>
    <w:uiPriority w:val="99"/>
    <w:rPr>
      <w:rFonts w:ascii="Calibri" w:hAnsi="Calibri" w:eastAsia="宋体" w:cs="Times New Roman"/>
      <w:kern w:val="2"/>
      <w:sz w:val="24"/>
      <w:szCs w:val="22"/>
    </w:rPr>
  </w:style>
  <w:style w:type="character" w:customStyle="1" w:styleId="539">
    <w:name w:val="页脚 字符"/>
    <w:qFormat/>
    <w:uiPriority w:val="99"/>
    <w:rPr>
      <w:rFonts w:ascii="宋体" w:hAnsi="宋体" w:cs="Times New Roman"/>
      <w:kern w:val="2"/>
      <w:sz w:val="18"/>
      <w:szCs w:val="18"/>
    </w:rPr>
  </w:style>
  <w:style w:type="character" w:customStyle="1" w:styleId="540">
    <w:name w:val="批注主题 字符"/>
    <w:qFormat/>
    <w:uiPriority w:val="99"/>
    <w:rPr>
      <w:rFonts w:ascii="Calibri" w:hAnsi="Calibri" w:eastAsia="宋体" w:cs="Times New Roman"/>
      <w:b/>
      <w:bCs/>
      <w:kern w:val="2"/>
      <w:sz w:val="24"/>
      <w:szCs w:val="22"/>
    </w:rPr>
  </w:style>
  <w:style w:type="character" w:customStyle="1" w:styleId="541">
    <w:name w:val="正文文本 字符"/>
    <w:qFormat/>
    <w:uiPriority w:val="99"/>
    <w:rPr>
      <w:rFonts w:ascii="Calibri" w:hAnsi="Calibri" w:eastAsia="宋体" w:cs="Times New Roman"/>
      <w:kern w:val="2"/>
      <w:sz w:val="24"/>
      <w:szCs w:val="22"/>
    </w:rPr>
  </w:style>
  <w:style w:type="character" w:customStyle="1" w:styleId="542">
    <w:name w:val="标题 3 字符"/>
    <w:qFormat/>
    <w:uiPriority w:val="0"/>
    <w:rPr>
      <w:rFonts w:ascii="宋体" w:hAnsi="Calibri" w:cs="Times New Roman"/>
      <w:b/>
      <w:kern w:val="2"/>
      <w:sz w:val="24"/>
      <w:szCs w:val="22"/>
    </w:rPr>
  </w:style>
  <w:style w:type="character" w:customStyle="1" w:styleId="543">
    <w:name w:val="标题 1 字符"/>
    <w:qFormat/>
    <w:uiPriority w:val="9"/>
    <w:rPr>
      <w:rFonts w:eastAsia="宋体" w:cs="Times New Roman"/>
      <w:b/>
      <w:kern w:val="44"/>
      <w:sz w:val="30"/>
      <w:szCs w:val="22"/>
    </w:rPr>
  </w:style>
  <w:style w:type="character" w:customStyle="1" w:styleId="544">
    <w:name w:val="标题 5 字符"/>
    <w:qFormat/>
    <w:uiPriority w:val="9"/>
    <w:rPr>
      <w:b/>
      <w:bCs/>
      <w:kern w:val="2"/>
      <w:sz w:val="28"/>
      <w:szCs w:val="28"/>
    </w:rPr>
  </w:style>
  <w:style w:type="character" w:customStyle="1" w:styleId="545">
    <w:name w:val="正文文本 2 字符"/>
    <w:qFormat/>
    <w:uiPriority w:val="99"/>
    <w:rPr>
      <w:rFonts w:ascii="Calibri" w:hAnsi="Calibri" w:eastAsia="宋体" w:cs="Times New Roman"/>
      <w:kern w:val="2"/>
      <w:sz w:val="24"/>
      <w:szCs w:val="22"/>
    </w:rPr>
  </w:style>
  <w:style w:type="character" w:customStyle="1" w:styleId="546">
    <w:name w:val="日期 字符"/>
    <w:qFormat/>
    <w:uiPriority w:val="0"/>
  </w:style>
  <w:style w:type="character" w:customStyle="1" w:styleId="547">
    <w:name w:val="批注框文本 字符"/>
    <w:qFormat/>
    <w:uiPriority w:val="99"/>
    <w:rPr>
      <w:sz w:val="18"/>
      <w:szCs w:val="18"/>
    </w:rPr>
  </w:style>
  <w:style w:type="character" w:customStyle="1" w:styleId="548">
    <w:name w:val="标题 8 字符"/>
    <w:qFormat/>
    <w:uiPriority w:val="0"/>
    <w:rPr>
      <w:rFonts w:ascii="CG Times" w:hAnsi="CG Times"/>
      <w:sz w:val="22"/>
      <w:lang w:val="en-GB"/>
    </w:rPr>
  </w:style>
  <w:style w:type="character" w:customStyle="1" w:styleId="549">
    <w:name w:val="标题 7 字符"/>
    <w:qFormat/>
    <w:uiPriority w:val="0"/>
    <w:rPr>
      <w:rFonts w:ascii="CG Times" w:hAnsi="CG Times"/>
      <w:sz w:val="22"/>
      <w:lang w:val="en-GB"/>
    </w:rPr>
  </w:style>
  <w:style w:type="character" w:customStyle="1" w:styleId="550">
    <w:name w:val="标题 6 字符"/>
    <w:qFormat/>
    <w:uiPriority w:val="9"/>
    <w:rPr>
      <w:rFonts w:ascii="Calibri Light" w:hAnsi="Calibri Light" w:eastAsia="宋体" w:cs="Times New Roman"/>
      <w:b/>
      <w:bCs/>
      <w:kern w:val="2"/>
      <w:sz w:val="24"/>
      <w:szCs w:val="24"/>
    </w:rPr>
  </w:style>
  <w:style w:type="character" w:customStyle="1" w:styleId="551">
    <w:name w:val="正文文本 3 字符"/>
    <w:qFormat/>
    <w:uiPriority w:val="99"/>
    <w:rPr>
      <w:rFonts w:ascii="Calibri" w:hAnsi="Calibri" w:eastAsia="宋体" w:cs="Times New Roman"/>
      <w:kern w:val="2"/>
      <w:sz w:val="16"/>
      <w:szCs w:val="16"/>
    </w:rPr>
  </w:style>
  <w:style w:type="character" w:customStyle="1" w:styleId="552">
    <w:name w:val="HTML 预设格式 字符"/>
    <w:qFormat/>
    <w:uiPriority w:val="99"/>
    <w:rPr>
      <w:rFonts w:ascii="宋体" w:hAnsi="宋体" w:cs="宋体"/>
      <w:sz w:val="24"/>
      <w:szCs w:val="24"/>
    </w:rPr>
  </w:style>
  <w:style w:type="paragraph" w:customStyle="1" w:styleId="553">
    <w:name w:val="_Style 511"/>
    <w:basedOn w:val="1"/>
    <w:next w:val="1"/>
    <w:unhideWhenUsed/>
    <w:qFormat/>
    <w:uiPriority w:val="39"/>
    <w:pPr>
      <w:widowControl/>
      <w:wordWrap w:val="0"/>
      <w:topLinePunct/>
      <w:adjustRightInd w:val="0"/>
      <w:snapToGrid w:val="0"/>
      <w:spacing w:afterLines="50"/>
      <w:ind w:left="2520" w:leftChars="1200" w:firstLine="480" w:firstLineChars="200"/>
    </w:pPr>
    <w:rPr>
      <w:kern w:val="0"/>
      <w:szCs w:val="20"/>
    </w:rPr>
  </w:style>
  <w:style w:type="character" w:customStyle="1" w:styleId="554">
    <w:name w:val="NormalCharacter"/>
    <w:qFormat/>
    <w:uiPriority w:val="0"/>
    <w:rPr>
      <w:rFonts w:ascii="Times New Roman" w:hAnsi="Times New Roman" w:eastAsia="宋体" w:cs="Times New Roman"/>
      <w:kern w:val="2"/>
      <w:sz w:val="24"/>
      <w:szCs w:val="22"/>
      <w:lang w:val="en-US" w:eastAsia="zh-CN" w:bidi="ar-SA"/>
    </w:rPr>
  </w:style>
  <w:style w:type="paragraph" w:customStyle="1" w:styleId="555">
    <w:name w:val="修订6"/>
    <w:hidden/>
    <w:qFormat/>
    <w:uiPriority w:val="99"/>
    <w:rPr>
      <w:rFonts w:ascii="Times New Roman" w:hAnsi="Times New Roman" w:eastAsia="宋体" w:cs="Times New Roman"/>
      <w:kern w:val="2"/>
      <w:sz w:val="24"/>
      <w:szCs w:val="22"/>
      <w:lang w:val="en-US" w:eastAsia="zh-CN" w:bidi="ar-SA"/>
    </w:rPr>
  </w:style>
  <w:style w:type="character" w:customStyle="1" w:styleId="556">
    <w:name w:val="case31"/>
    <w:qFormat/>
    <w:uiPriority w:val="0"/>
    <w:rPr>
      <w:rFonts w:hint="default" w:ascii="ˎ̥" w:hAnsi="ˎ̥"/>
      <w:sz w:val="21"/>
      <w:szCs w:val="21"/>
    </w:rPr>
  </w:style>
  <w:style w:type="character" w:customStyle="1" w:styleId="557">
    <w:name w:val="标题 2 Char1"/>
    <w:qFormat/>
    <w:uiPriority w:val="9"/>
    <w:rPr>
      <w:rFonts w:ascii="Calibri Light" w:hAnsi="Calibri Light" w:eastAsia="宋体" w:cs="Times New Roman"/>
      <w:b/>
      <w:bCs/>
      <w:sz w:val="32"/>
      <w:szCs w:val="32"/>
    </w:rPr>
  </w:style>
  <w:style w:type="character" w:customStyle="1" w:styleId="558">
    <w:name w:val="文档结构图 Char2"/>
    <w:qFormat/>
    <w:uiPriority w:val="99"/>
    <w:rPr>
      <w:rFonts w:ascii="Microsoft YaHei UI" w:eastAsia="Microsoft YaHei UI"/>
      <w:sz w:val="18"/>
      <w:szCs w:val="18"/>
    </w:rPr>
  </w:style>
  <w:style w:type="character" w:customStyle="1" w:styleId="559">
    <w:name w:val="正文文本 3 Char2"/>
    <w:qFormat/>
    <w:uiPriority w:val="99"/>
    <w:rPr>
      <w:sz w:val="16"/>
      <w:szCs w:val="16"/>
    </w:rPr>
  </w:style>
  <w:style w:type="character" w:customStyle="1" w:styleId="560">
    <w:name w:val="纯文本 Char4"/>
    <w:qFormat/>
    <w:uiPriority w:val="99"/>
    <w:rPr>
      <w:rFonts w:ascii="宋体" w:hAnsi="Courier New" w:eastAsia="宋体" w:cs="Courier New"/>
      <w:szCs w:val="21"/>
    </w:rPr>
  </w:style>
  <w:style w:type="character" w:customStyle="1" w:styleId="561">
    <w:name w:val="日期 Char2"/>
    <w:qFormat/>
    <w:uiPriority w:val="99"/>
  </w:style>
  <w:style w:type="character" w:customStyle="1" w:styleId="562">
    <w:name w:val="标题 Char2"/>
    <w:qFormat/>
    <w:uiPriority w:val="10"/>
    <w:rPr>
      <w:rFonts w:ascii="Calibri Light" w:hAnsi="Calibri Light" w:eastAsia="宋体" w:cs="Times New Roman"/>
      <w:b/>
      <w:bCs/>
      <w:sz w:val="32"/>
      <w:szCs w:val="32"/>
    </w:rPr>
  </w:style>
  <w:style w:type="character" w:customStyle="1" w:styleId="563">
    <w:name w:val="批注主题 Char3"/>
    <w:qFormat/>
    <w:uiPriority w:val="99"/>
    <w:rPr>
      <w:rFonts w:ascii="Times New Roman" w:hAnsi="Times New Roman" w:eastAsia="宋体" w:cs="Times New Roman"/>
      <w:b/>
      <w:bCs/>
      <w:sz w:val="24"/>
    </w:rPr>
  </w:style>
  <w:style w:type="character" w:customStyle="1" w:styleId="564">
    <w:name w:val="正文首行缩进 Char4"/>
    <w:qFormat/>
    <w:uiPriority w:val="99"/>
  </w:style>
  <w:style w:type="character" w:customStyle="1" w:styleId="565">
    <w:name w:val="明显引用 Char2"/>
    <w:basedOn w:val="48"/>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566">
    <w:name w:val="副标题 Char3"/>
    <w:qFormat/>
    <w:uiPriority w:val="11"/>
    <w:rPr>
      <w:rFonts w:ascii="Calibri Light" w:hAnsi="Calibri Light" w:eastAsia="宋体" w:cs="Times New Roman"/>
      <w:b/>
      <w:bCs/>
      <w:kern w:val="28"/>
      <w:sz w:val="32"/>
      <w:szCs w:val="32"/>
    </w:rPr>
  </w:style>
  <w:style w:type="character" w:customStyle="1" w:styleId="567">
    <w:name w:val="引用 Char2"/>
    <w:basedOn w:val="48"/>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568">
    <w:name w:val="font01"/>
    <w:qFormat/>
    <w:uiPriority w:val="0"/>
    <w:rPr>
      <w:rFonts w:ascii="宋体" w:hAnsi="宋体" w:eastAsia="宋体" w:cs="宋体"/>
      <w:color w:val="000000"/>
      <w:sz w:val="22"/>
      <w:szCs w:val="22"/>
      <w:u w:val="none"/>
      <w:vertAlign w:val="subscript"/>
    </w:rPr>
  </w:style>
  <w:style w:type="character" w:customStyle="1" w:styleId="569">
    <w:name w:val="Char Char4"/>
    <w:qFormat/>
    <w:uiPriority w:val="0"/>
    <w:rPr>
      <w:rFonts w:ascii="宋体" w:hAnsi="宋体" w:cs="宋体"/>
      <w:kern w:val="2"/>
      <w:sz w:val="24"/>
      <w:szCs w:val="24"/>
    </w:rPr>
  </w:style>
  <w:style w:type="character" w:customStyle="1" w:styleId="570">
    <w:name w:val="Char Char11"/>
    <w:qFormat/>
    <w:uiPriority w:val="0"/>
    <w:rPr>
      <w:rFonts w:ascii="宋体" w:hAnsi="宋体"/>
      <w:kern w:val="2"/>
      <w:sz w:val="21"/>
      <w:szCs w:val="21"/>
    </w:rPr>
  </w:style>
  <w:style w:type="character" w:customStyle="1" w:styleId="571">
    <w:name w:val="font41"/>
    <w:qFormat/>
    <w:uiPriority w:val="0"/>
    <w:rPr>
      <w:rFonts w:ascii="宋体" w:hAnsi="宋体" w:eastAsia="宋体" w:cs="宋体"/>
      <w:color w:val="000000"/>
      <w:sz w:val="22"/>
      <w:szCs w:val="22"/>
      <w:u w:val="none"/>
    </w:rPr>
  </w:style>
  <w:style w:type="paragraph" w:customStyle="1" w:styleId="572">
    <w:name w:val="正文修改"/>
    <w:basedOn w:val="1"/>
    <w:qFormat/>
    <w:uiPriority w:val="0"/>
    <w:pPr>
      <w:spacing w:line="520" w:lineRule="exact"/>
      <w:ind w:firstLine="560" w:firstLineChars="200"/>
    </w:pPr>
    <w:rPr>
      <w:rFonts w:ascii="仿宋" w:hAnsi="仿宋" w:eastAsia="仿宋" w:cs="仿宋"/>
      <w:kern w:val="0"/>
      <w:sz w:val="24"/>
    </w:rPr>
  </w:style>
  <w:style w:type="paragraph" w:customStyle="1" w:styleId="573">
    <w:name w:val="二级条标题"/>
    <w:basedOn w:val="574"/>
    <w:next w:val="471"/>
    <w:qFormat/>
    <w:uiPriority w:val="0"/>
    <w:pPr>
      <w:spacing w:before="50" w:after="50"/>
      <w:ind w:left="2126"/>
      <w:outlineLvl w:val="3"/>
    </w:pPr>
  </w:style>
  <w:style w:type="paragraph" w:customStyle="1" w:styleId="574">
    <w:name w:val="一级条标题"/>
    <w:next w:val="471"/>
    <w:qFormat/>
    <w:uiPriority w:val="0"/>
    <w:pPr>
      <w:spacing w:beforeLines="50" w:afterLines="50"/>
      <w:ind w:left="1843"/>
      <w:outlineLvl w:val="2"/>
    </w:pPr>
    <w:rPr>
      <w:rFonts w:ascii="黑体" w:hAnsi="Times New Roman" w:eastAsia="黑体" w:cs="黑体"/>
      <w:sz w:val="21"/>
      <w:szCs w:val="21"/>
      <w:lang w:val="en-US" w:eastAsia="zh-CN" w:bidi="ar-SA"/>
    </w:rPr>
  </w:style>
  <w:style w:type="paragraph" w:customStyle="1" w:styleId="575">
    <w:name w:val="三级条标题"/>
    <w:basedOn w:val="573"/>
    <w:next w:val="471"/>
    <w:qFormat/>
    <w:uiPriority w:val="0"/>
    <w:pPr>
      <w:outlineLvl w:val="4"/>
    </w:pPr>
  </w:style>
  <w:style w:type="paragraph" w:customStyle="1" w:styleId="576">
    <w:name w:val="图表文字标注"/>
    <w:basedOn w:val="577"/>
    <w:qFormat/>
    <w:uiPriority w:val="0"/>
    <w:pPr>
      <w:ind w:firstLine="0" w:firstLineChars="0"/>
      <w:jc w:val="center"/>
    </w:pPr>
  </w:style>
  <w:style w:type="paragraph" w:customStyle="1" w:styleId="577">
    <w:name w:val="修改正文"/>
    <w:basedOn w:val="1"/>
    <w:qFormat/>
    <w:uiPriority w:val="0"/>
    <w:pPr>
      <w:ind w:firstLine="560" w:firstLineChars="200"/>
      <w:jc w:val="left"/>
    </w:pPr>
    <w:rPr>
      <w:rFonts w:cs="宋体"/>
      <w:sz w:val="24"/>
    </w:rPr>
  </w:style>
  <w:style w:type="paragraph" w:customStyle="1" w:styleId="578">
    <w:name w:val="!投标三级标题"/>
    <w:basedOn w:val="4"/>
    <w:qFormat/>
    <w:uiPriority w:val="0"/>
    <w:pPr>
      <w:keepNext w:val="0"/>
      <w:keepLines w:val="0"/>
      <w:tabs>
        <w:tab w:val="left" w:pos="0"/>
      </w:tabs>
      <w:spacing w:before="0" w:after="0" w:line="360" w:lineRule="auto"/>
      <w:ind w:left="1403" w:firstLine="0" w:firstLineChars="0"/>
      <w:jc w:val="left"/>
    </w:pPr>
    <w:rPr>
      <w:rFonts w:ascii="宋体" w:eastAsia="宋体" w:cs="宋体"/>
      <w:bCs w:val="0"/>
      <w:kern w:val="0"/>
      <w:sz w:val="24"/>
      <w:szCs w:val="24"/>
    </w:rPr>
  </w:style>
  <w:style w:type="paragraph" w:customStyle="1" w:styleId="579">
    <w:name w:val="正文_1"/>
    <w:qFormat/>
    <w:uiPriority w:val="0"/>
    <w:pPr>
      <w:widowControl w:val="0"/>
      <w:jc w:val="both"/>
    </w:pPr>
    <w:rPr>
      <w:rFonts w:ascii="Times New Roman" w:hAnsi="Times New Roman" w:eastAsia="宋体" w:cs="Times New Roman"/>
      <w:lang w:val="en-US" w:eastAsia="zh-CN" w:bidi="ar-SA"/>
    </w:rPr>
  </w:style>
  <w:style w:type="paragraph" w:customStyle="1" w:styleId="580">
    <w:name w:val="！！投标正文"/>
    <w:basedOn w:val="1"/>
    <w:qFormat/>
    <w:uiPriority w:val="0"/>
    <w:pPr>
      <w:ind w:firstLine="560" w:firstLineChars="200"/>
    </w:pPr>
    <w:rPr>
      <w:sz w:val="28"/>
      <w:szCs w:val="21"/>
    </w:rPr>
  </w:style>
  <w:style w:type="paragraph" w:customStyle="1" w:styleId="581">
    <w:name w:val="正文编辑"/>
    <w:basedOn w:val="572"/>
    <w:qFormat/>
    <w:uiPriority w:val="0"/>
    <w:pPr>
      <w:ind w:firstLine="480"/>
    </w:pPr>
  </w:style>
  <w:style w:type="paragraph" w:customStyle="1" w:styleId="582">
    <w:name w:val="投标正文"/>
    <w:basedOn w:val="1"/>
    <w:qFormat/>
    <w:uiPriority w:val="0"/>
    <w:pPr>
      <w:ind w:firstLine="560" w:firstLineChars="200"/>
    </w:pPr>
    <w:rPr>
      <w:rFonts w:cs="宋体"/>
      <w:sz w:val="24"/>
    </w:rPr>
  </w:style>
  <w:style w:type="paragraph" w:customStyle="1" w:styleId="583">
    <w:name w:val="列出段落11"/>
    <w:basedOn w:val="1"/>
    <w:qFormat/>
    <w:uiPriority w:val="0"/>
    <w:pPr>
      <w:autoSpaceDE w:val="0"/>
      <w:autoSpaceDN w:val="0"/>
      <w:ind w:firstLine="200" w:firstLineChars="200"/>
      <w:jc w:val="left"/>
    </w:pPr>
    <w:rPr>
      <w:rFonts w:cs="宋体"/>
      <w:kern w:val="0"/>
      <w:sz w:val="22"/>
      <w:szCs w:val="22"/>
      <w:lang w:eastAsia="en-US"/>
    </w:rPr>
  </w:style>
  <w:style w:type="paragraph" w:customStyle="1" w:styleId="584">
    <w:name w:val="标准条文、列项"/>
    <w:basedOn w:val="1"/>
    <w:qFormat/>
    <w:uiPriority w:val="0"/>
    <w:pPr>
      <w:ind w:firstLine="200" w:firstLineChars="200"/>
    </w:pPr>
    <w:rPr>
      <w:rFonts w:cs="宋体"/>
      <w:kern w:val="0"/>
      <w:sz w:val="20"/>
      <w:szCs w:val="20"/>
    </w:rPr>
  </w:style>
  <w:style w:type="paragraph" w:customStyle="1" w:styleId="585">
    <w:name w:val="默认段落字体 Para Char"/>
    <w:basedOn w:val="1"/>
    <w:next w:val="1"/>
    <w:qFormat/>
    <w:uiPriority w:val="0"/>
    <w:pPr>
      <w:ind w:firstLine="200" w:firstLineChars="200"/>
    </w:pPr>
    <w:rPr>
      <w:rFonts w:cs="宋体"/>
      <w:sz w:val="24"/>
    </w:rPr>
  </w:style>
  <w:style w:type="paragraph" w:customStyle="1" w:styleId="586">
    <w:name w:val="列项1"/>
    <w:basedOn w:val="1"/>
    <w:qFormat/>
    <w:uiPriority w:val="0"/>
    <w:pPr>
      <w:numPr>
        <w:ilvl w:val="0"/>
        <w:numId w:val="6"/>
      </w:numPr>
      <w:tabs>
        <w:tab w:val="left" w:pos="210"/>
      </w:tabs>
      <w:ind w:firstLine="200" w:firstLineChars="200"/>
    </w:pPr>
    <w:rPr>
      <w:rFonts w:cs="宋体"/>
      <w:kern w:val="0"/>
      <w:sz w:val="20"/>
      <w:szCs w:val="20"/>
    </w:rPr>
  </w:style>
  <w:style w:type="paragraph" w:customStyle="1" w:styleId="587">
    <w:name w:val="reader-word-layer"/>
    <w:basedOn w:val="1"/>
    <w:qFormat/>
    <w:uiPriority w:val="0"/>
    <w:pPr>
      <w:widowControl/>
      <w:spacing w:beforeAutospacing="1" w:afterAutospacing="1" w:line="240" w:lineRule="auto"/>
      <w:jc w:val="left"/>
    </w:pPr>
    <w:rPr>
      <w:rFonts w:ascii="仿宋_GB2312" w:eastAsia="仿宋_GB2312" w:cs="仿宋_GB2312"/>
      <w:kern w:val="0"/>
      <w:sz w:val="32"/>
      <w:szCs w:val="32"/>
    </w:rPr>
  </w:style>
  <w:style w:type="paragraph" w:customStyle="1" w:styleId="588">
    <w:name w:val="s正文"/>
    <w:basedOn w:val="1"/>
    <w:link w:val="589"/>
    <w:qFormat/>
    <w:uiPriority w:val="0"/>
    <w:pPr>
      <w:ind w:firstLine="420" w:firstLineChars="200"/>
    </w:pPr>
    <w:rPr>
      <w:szCs w:val="21"/>
    </w:rPr>
  </w:style>
  <w:style w:type="character" w:customStyle="1" w:styleId="589">
    <w:name w:val="s正文 Char"/>
    <w:basedOn w:val="48"/>
    <w:link w:val="588"/>
    <w:qFormat/>
    <w:uiPriority w:val="0"/>
    <w:rPr>
      <w:rFonts w:ascii="宋体" w:hAnsi="宋体" w:eastAsia="宋体" w:cs="Times New Roman"/>
      <w:szCs w:val="21"/>
    </w:rPr>
  </w:style>
  <w:style w:type="paragraph" w:customStyle="1" w:styleId="590">
    <w:name w:val="条1"/>
    <w:basedOn w:val="1"/>
    <w:next w:val="471"/>
    <w:qFormat/>
    <w:uiPriority w:val="0"/>
    <w:pPr>
      <w:numPr>
        <w:ilvl w:val="1"/>
        <w:numId w:val="2"/>
      </w:numPr>
      <w:spacing w:line="240" w:lineRule="auto"/>
    </w:pPr>
    <w:rPr>
      <w:rFonts w:ascii="Calibri" w:hAnsi="Calibri" w:eastAsia="黑体"/>
      <w:kern w:val="21"/>
      <w:szCs w:val="21"/>
    </w:rPr>
  </w:style>
  <w:style w:type="paragraph" w:customStyle="1" w:styleId="591">
    <w:name w:val="s二级"/>
    <w:basedOn w:val="592"/>
    <w:link w:val="594"/>
    <w:qFormat/>
    <w:uiPriority w:val="0"/>
    <w:pPr>
      <w:spacing w:line="360" w:lineRule="auto"/>
      <w:ind w:firstLine="480"/>
      <w:jc w:val="left"/>
      <w:outlineLvl w:val="1"/>
    </w:pPr>
    <w:rPr>
      <w:sz w:val="24"/>
    </w:rPr>
  </w:style>
  <w:style w:type="paragraph" w:customStyle="1" w:styleId="592">
    <w:name w:val="s一级"/>
    <w:basedOn w:val="1"/>
    <w:link w:val="593"/>
    <w:qFormat/>
    <w:uiPriority w:val="0"/>
    <w:pPr>
      <w:adjustRightInd w:val="0"/>
      <w:snapToGrid w:val="0"/>
      <w:spacing w:line="240" w:lineRule="auto"/>
      <w:jc w:val="center"/>
      <w:outlineLvl w:val="0"/>
    </w:pPr>
    <w:rPr>
      <w:rFonts w:ascii="黑体" w:hAnsi="黑体" w:eastAsia="黑体"/>
      <w:sz w:val="28"/>
      <w:szCs w:val="36"/>
    </w:rPr>
  </w:style>
  <w:style w:type="character" w:customStyle="1" w:styleId="593">
    <w:name w:val="s一级 Char"/>
    <w:basedOn w:val="151"/>
    <w:link w:val="592"/>
    <w:qFormat/>
    <w:uiPriority w:val="0"/>
    <w:rPr>
      <w:rFonts w:ascii="黑体" w:hAnsi="黑体" w:eastAsia="黑体" w:cs="Times New Roman"/>
      <w:kern w:val="0"/>
      <w:sz w:val="28"/>
      <w:szCs w:val="36"/>
    </w:rPr>
  </w:style>
  <w:style w:type="character" w:customStyle="1" w:styleId="594">
    <w:name w:val="s二级 Char"/>
    <w:basedOn w:val="593"/>
    <w:link w:val="591"/>
    <w:qFormat/>
    <w:uiPriority w:val="0"/>
    <w:rPr>
      <w:rFonts w:ascii="黑体" w:hAnsi="黑体" w:eastAsia="黑体" w:cs="Times New Roman"/>
      <w:kern w:val="0"/>
      <w:sz w:val="24"/>
      <w:szCs w:val="36"/>
    </w:rPr>
  </w:style>
  <w:style w:type="paragraph" w:customStyle="1" w:styleId="595">
    <w:name w:val="修订211"/>
    <w:qFormat/>
    <w:uiPriority w:val="99"/>
    <w:rPr>
      <w:rFonts w:ascii="宋体" w:hAnsi="Calibri" w:eastAsia="宋体" w:cs="黑体"/>
      <w:kern w:val="2"/>
      <w:sz w:val="24"/>
      <w:szCs w:val="22"/>
      <w:lang w:val="en-US" w:eastAsia="zh-CN" w:bidi="ar-SA"/>
    </w:rPr>
  </w:style>
  <w:style w:type="paragraph" w:customStyle="1" w:styleId="596">
    <w:name w:val="修订61"/>
    <w:qFormat/>
    <w:uiPriority w:val="99"/>
    <w:rPr>
      <w:rFonts w:ascii="Times New Roman" w:hAnsi="Times New Roman" w:eastAsia="宋体" w:cs="Times New Roman"/>
      <w:kern w:val="2"/>
      <w:sz w:val="24"/>
      <w:szCs w:val="22"/>
      <w:lang w:val="en-US" w:eastAsia="zh-CN" w:bidi="ar-SA"/>
    </w:rPr>
  </w:style>
  <w:style w:type="table" w:customStyle="1" w:styleId="597">
    <w:name w:val="网格型20"/>
    <w:basedOn w:val="4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8">
    <w:name w:val="Revision_3908a1fb-e336-4875-9cf8-4e0373b922e0"/>
    <w:qFormat/>
    <w:uiPriority w:val="99"/>
    <w:rPr>
      <w:rFonts w:ascii="Times New Roman" w:hAnsi="Times New Roman" w:eastAsia="宋体" w:cs="Times New Roman"/>
      <w:kern w:val="2"/>
      <w:sz w:val="24"/>
      <w:szCs w:val="22"/>
      <w:lang w:val="en-US" w:eastAsia="zh-CN" w:bidi="ar-SA"/>
    </w:rPr>
  </w:style>
  <w:style w:type="character" w:customStyle="1" w:styleId="599">
    <w:name w:val="15"/>
    <w:basedOn w:val="48"/>
    <w:qFormat/>
    <w:uiPriority w:val="0"/>
    <w:rPr>
      <w:rFonts w:hint="default" w:ascii="Calibri" w:hAnsi="Calibri" w:cs="Calibri"/>
    </w:rPr>
  </w:style>
  <w:style w:type="character" w:customStyle="1" w:styleId="600">
    <w:name w:val="10"/>
    <w:basedOn w:val="48"/>
    <w:qFormat/>
    <w:uiPriority w:val="0"/>
    <w:rPr>
      <w:rFonts w:hint="default" w:ascii="Calibri" w:hAnsi="Calibri" w:cs="Calibri"/>
    </w:rPr>
  </w:style>
  <w:style w:type="character" w:customStyle="1" w:styleId="601">
    <w:name w:val="c-icon28"/>
    <w:basedOn w:val="48"/>
    <w:qFormat/>
    <w:uiPriority w:val="0"/>
  </w:style>
  <w:style w:type="character" w:customStyle="1" w:styleId="602">
    <w:name w:val="hover22"/>
    <w:basedOn w:val="48"/>
    <w:qFormat/>
    <w:uiPriority w:val="0"/>
  </w:style>
  <w:style w:type="character" w:customStyle="1" w:styleId="603">
    <w:name w:val="hover23"/>
    <w:basedOn w:val="48"/>
    <w:qFormat/>
    <w:uiPriority w:val="0"/>
    <w:rPr>
      <w:color w:val="315EFB"/>
    </w:rPr>
  </w:style>
  <w:style w:type="character" w:customStyle="1" w:styleId="604">
    <w:name w:val="c-icon27"/>
    <w:basedOn w:val="48"/>
    <w:qFormat/>
    <w:uiPriority w:val="0"/>
  </w:style>
  <w:style w:type="character" w:customStyle="1" w:styleId="605">
    <w:name w:val="hover"/>
    <w:basedOn w:val="48"/>
    <w:qFormat/>
    <w:uiPriority w:val="0"/>
  </w:style>
  <w:style w:type="character" w:customStyle="1" w:styleId="606">
    <w:name w:val="hover1"/>
    <w:basedOn w:val="48"/>
    <w:qFormat/>
    <w:uiPriority w:val="0"/>
    <w:rPr>
      <w:color w:val="315EFB"/>
    </w:rPr>
  </w:style>
  <w:style w:type="paragraph" w:customStyle="1" w:styleId="607">
    <w:name w:val="&quot;第一层&quot;"/>
    <w:basedOn w:val="2"/>
    <w:qFormat/>
    <w:uiPriority w:val="0"/>
    <w:pPr>
      <w:spacing w:line="578" w:lineRule="auto"/>
      <w:jc w:val="center"/>
    </w:pPr>
    <w:rPr>
      <w:rFonts w:ascii="Times New Roman" w:hAnsi="Times New Roman"/>
      <w:b w:val="0"/>
      <w:bCs w:val="0"/>
      <w:sz w:val="32"/>
    </w:rPr>
  </w:style>
  <w:style w:type="paragraph" w:customStyle="1" w:styleId="608">
    <w:name w:val="s三级"/>
    <w:basedOn w:val="588"/>
    <w:link w:val="609"/>
    <w:qFormat/>
    <w:uiPriority w:val="0"/>
    <w:pPr>
      <w:ind w:firstLine="422"/>
      <w:outlineLvl w:val="2"/>
    </w:pPr>
    <w:rPr>
      <w:rFonts w:hint="eastAsia"/>
      <w:b/>
    </w:rPr>
  </w:style>
  <w:style w:type="character" w:customStyle="1" w:styleId="609">
    <w:name w:val="s三级 Char"/>
    <w:basedOn w:val="589"/>
    <w:link w:val="608"/>
    <w:qFormat/>
    <w:uiPriority w:val="0"/>
    <w:rPr>
      <w:rFonts w:ascii="宋体" w:hAnsi="宋体" w:eastAsia="宋体" w:cs="Times New Roman"/>
      <w:b/>
      <w:szCs w:val="21"/>
    </w:rPr>
  </w:style>
  <w:style w:type="paragraph" w:customStyle="1" w:styleId="610">
    <w:name w:val="修订7"/>
    <w:hidden/>
    <w:semiHidden/>
    <w:qFormat/>
    <w:uiPriority w:val="99"/>
    <w:rPr>
      <w:rFonts w:ascii="Times New Roman" w:hAnsi="Times New Roman" w:eastAsia="宋体" w:cs="Times New Roman"/>
      <w:kern w:val="2"/>
      <w:sz w:val="24"/>
      <w:szCs w:val="22"/>
      <w:lang w:val="en-US" w:eastAsia="zh-CN" w:bidi="ar-SA"/>
    </w:rPr>
  </w:style>
  <w:style w:type="paragraph" w:customStyle="1" w:styleId="611">
    <w:name w:val="+正文"/>
    <w:basedOn w:val="1"/>
    <w:link w:val="612"/>
    <w:qFormat/>
    <w:uiPriority w:val="0"/>
    <w:pPr>
      <w:adjustRightInd w:val="0"/>
      <w:snapToGrid w:val="0"/>
      <w:ind w:firstLine="200" w:firstLineChars="200"/>
      <w:textAlignment w:val="baseline"/>
    </w:pPr>
    <w:rPr>
      <w:rFonts w:cstheme="minorBidi"/>
      <w:szCs w:val="28"/>
    </w:rPr>
  </w:style>
  <w:style w:type="character" w:customStyle="1" w:styleId="612">
    <w:name w:val="+正文 Char4"/>
    <w:link w:val="611"/>
    <w:qFormat/>
    <w:uiPriority w:val="0"/>
    <w:rPr>
      <w:rFonts w:ascii="宋体" w:hAnsi="宋体" w:eastAsia="宋体"/>
      <w:szCs w:val="28"/>
    </w:rPr>
  </w:style>
  <w:style w:type="paragraph" w:customStyle="1" w:styleId="613">
    <w:name w:val="一级列项-"/>
    <w:basedOn w:val="1"/>
    <w:qFormat/>
    <w:uiPriority w:val="0"/>
    <w:pPr>
      <w:spacing w:line="240" w:lineRule="auto"/>
      <w:ind w:left="850" w:hanging="425"/>
    </w:pPr>
    <w:rPr>
      <w:rFonts w:ascii="Times New Roman" w:hAnsi="Times New Roman"/>
      <w:szCs w:val="21"/>
    </w:rPr>
  </w:style>
  <w:style w:type="paragraph" w:customStyle="1" w:styleId="614">
    <w:name w:val="无题条4"/>
    <w:qFormat/>
    <w:uiPriority w:val="0"/>
    <w:pPr>
      <w:widowControl w:val="0"/>
      <w:jc w:val="both"/>
    </w:pPr>
    <w:rPr>
      <w:rFonts w:ascii="Times New Roman" w:hAnsi="Times New Roman" w:eastAsia="宋体" w:cs="Times New Roman"/>
      <w:kern w:val="21"/>
      <w:sz w:val="21"/>
      <w:szCs w:val="21"/>
      <w:lang w:val="en-US" w:eastAsia="zh-CN" w:bidi="ar-SA"/>
    </w:rPr>
  </w:style>
  <w:style w:type="paragraph" w:customStyle="1" w:styleId="615">
    <w:name w:val="条新2"/>
    <w:qFormat/>
    <w:uiPriority w:val="0"/>
    <w:pPr>
      <w:widowControl w:val="0"/>
      <w:spacing w:beforeLines="50" w:afterLines="50"/>
      <w:ind w:left="567"/>
      <w:jc w:val="both"/>
      <w:outlineLvl w:val="2"/>
    </w:pPr>
    <w:rPr>
      <w:rFonts w:ascii="Times New Roman" w:hAnsi="Times New Roman" w:eastAsia="黑体" w:cs="Times New Roman"/>
      <w:kern w:val="21"/>
      <w:sz w:val="21"/>
      <w:szCs w:val="21"/>
      <w:lang w:val="en-US" w:eastAsia="zh-CN" w:bidi="ar-SA"/>
    </w:rPr>
  </w:style>
  <w:style w:type="paragraph" w:customStyle="1" w:styleId="616">
    <w:name w:val="正文-发包人要求"/>
    <w:basedOn w:val="1"/>
    <w:qFormat/>
    <w:uiPriority w:val="0"/>
    <w:pPr>
      <w:ind w:firstLine="480" w:firstLineChars="200"/>
    </w:pPr>
    <w:rPr>
      <w:rFonts w:cs="宋体"/>
      <w:sz w:val="24"/>
    </w:rPr>
  </w:style>
  <w:style w:type="character" w:customStyle="1" w:styleId="617">
    <w:name w:val="Char Char7"/>
    <w:qFormat/>
    <w:uiPriority w:val="0"/>
  </w:style>
  <w:style w:type="character" w:customStyle="1" w:styleId="618">
    <w:name w:val="Char Char101"/>
    <w:qFormat/>
    <w:uiPriority w:val="0"/>
    <w:rPr>
      <w:lang w:val="en-US" w:eastAsia="zh-CN" w:bidi="ar-SA"/>
    </w:rPr>
  </w:style>
  <w:style w:type="paragraph" w:customStyle="1" w:styleId="619">
    <w:name w:val="修订8"/>
    <w:semiHidden/>
    <w:qFormat/>
    <w:uiPriority w:val="0"/>
    <w:rPr>
      <w:rFonts w:ascii="Calibri" w:hAnsi="Calibri" w:eastAsia="宋体" w:cs="Times New Roman"/>
      <w:kern w:val="2"/>
      <w:sz w:val="21"/>
      <w:szCs w:val="22"/>
      <w:lang w:val="en-US" w:eastAsia="zh-CN" w:bidi="ar-SA"/>
    </w:rPr>
  </w:style>
  <w:style w:type="character" w:customStyle="1" w:styleId="620">
    <w:name w:val="Char Char71"/>
    <w:qFormat/>
    <w:uiPriority w:val="0"/>
  </w:style>
  <w:style w:type="character" w:customStyle="1" w:styleId="621">
    <w:name w:val="Char Char102"/>
    <w:qFormat/>
    <w:uiPriority w:val="0"/>
    <w:rPr>
      <w:lang w:val="en-US" w:eastAsia="zh-CN" w:bidi="ar-SA"/>
    </w:rPr>
  </w:style>
  <w:style w:type="paragraph" w:customStyle="1" w:styleId="622">
    <w:name w:val="修订9"/>
    <w:semiHidden/>
    <w:qFormat/>
    <w:uiPriority w:val="0"/>
    <w:rPr>
      <w:rFonts w:ascii="Calibri" w:hAnsi="Calibri" w:eastAsia="宋体" w:cs="Times New Roman"/>
      <w:kern w:val="2"/>
      <w:sz w:val="21"/>
      <w:szCs w:val="22"/>
      <w:lang w:val="en-US" w:eastAsia="zh-CN" w:bidi="ar-SA"/>
    </w:rPr>
  </w:style>
  <w:style w:type="character" w:customStyle="1" w:styleId="623">
    <w:name w:val="Char Char72"/>
    <w:qFormat/>
    <w:uiPriority w:val="0"/>
  </w:style>
  <w:style w:type="character" w:customStyle="1" w:styleId="624">
    <w:name w:val="Char Char103"/>
    <w:qFormat/>
    <w:uiPriority w:val="99"/>
    <w:rPr>
      <w:lang w:val="en-US" w:eastAsia="zh-CN" w:bidi="ar-SA"/>
    </w:rPr>
  </w:style>
  <w:style w:type="paragraph" w:customStyle="1" w:styleId="625">
    <w:name w:val="Body text|1"/>
    <w:basedOn w:val="1"/>
    <w:qFormat/>
    <w:uiPriority w:val="0"/>
    <w:pPr>
      <w:spacing w:line="448" w:lineRule="auto"/>
      <w:ind w:firstLine="400"/>
      <w:jc w:val="left"/>
    </w:pPr>
    <w:rPr>
      <w:rFonts w:hint="eastAsia"/>
      <w:kern w:val="0"/>
      <w:sz w:val="20"/>
      <w:szCs w:val="20"/>
    </w:rPr>
  </w:style>
  <w:style w:type="paragraph" w:customStyle="1" w:styleId="626">
    <w:name w:val="二列项—"/>
    <w:basedOn w:val="1"/>
    <w:qFormat/>
    <w:uiPriority w:val="0"/>
    <w:pPr>
      <w:spacing w:line="440" w:lineRule="exact"/>
      <w:ind w:left="1277" w:hanging="426"/>
    </w:pPr>
    <w:rPr>
      <w:rFonts w:ascii="Times New Roman" w:hAnsi="Times New Roman"/>
      <w:szCs w:val="21"/>
    </w:rPr>
  </w:style>
  <w:style w:type="paragraph" w:customStyle="1" w:styleId="627">
    <w:name w:val="修订10"/>
    <w:hidden/>
    <w:semiHidden/>
    <w:qFormat/>
    <w:uiPriority w:val="99"/>
    <w:rPr>
      <w:rFonts w:ascii="宋体" w:hAnsi="宋体" w:eastAsia="宋体" w:cs="Times New Roman"/>
      <w:kern w:val="2"/>
      <w:sz w:val="21"/>
      <w:szCs w:val="24"/>
      <w:lang w:val="en-US" w:eastAsia="zh-CN" w:bidi="ar-SA"/>
    </w:rPr>
  </w:style>
  <w:style w:type="paragraph" w:customStyle="1" w:styleId="628">
    <w:name w:val="修订12"/>
    <w:hidden/>
    <w:semiHidden/>
    <w:qFormat/>
    <w:uiPriority w:val="99"/>
    <w:rPr>
      <w:rFonts w:ascii="宋体" w:hAnsi="宋体" w:eastAsia="宋体" w:cs="Times New Roman"/>
      <w:kern w:val="2"/>
      <w:sz w:val="21"/>
      <w:szCs w:val="24"/>
      <w:lang w:val="en-US" w:eastAsia="zh-CN" w:bidi="ar-SA"/>
    </w:rPr>
  </w:style>
  <w:style w:type="paragraph" w:customStyle="1" w:styleId="629">
    <w:name w:val="修订121"/>
    <w:hidden/>
    <w:semiHidden/>
    <w:qFormat/>
    <w:uiPriority w:val="99"/>
    <w:rPr>
      <w:rFonts w:ascii="宋体" w:hAnsi="宋体" w:eastAsia="宋体" w:cs="Times New Roman"/>
      <w:kern w:val="2"/>
      <w:sz w:val="21"/>
      <w:szCs w:val="24"/>
      <w:lang w:val="en-US" w:eastAsia="zh-CN" w:bidi="ar-SA"/>
    </w:rPr>
  </w:style>
  <w:style w:type="paragraph" w:customStyle="1" w:styleId="630">
    <w:name w:val="修订13"/>
    <w:hidden/>
    <w:semiHidden/>
    <w:qFormat/>
    <w:uiPriority w:val="99"/>
    <w:rPr>
      <w:rFonts w:ascii="宋体" w:hAnsi="宋体" w:eastAsia="宋体" w:cs="Times New Roman"/>
      <w:kern w:val="2"/>
      <w:sz w:val="21"/>
      <w:szCs w:val="24"/>
      <w:lang w:val="en-US" w:eastAsia="zh-CN" w:bidi="ar-SA"/>
    </w:rPr>
  </w:style>
  <w:style w:type="character" w:customStyle="1" w:styleId="631">
    <w:name w:val="未处理的提及4"/>
    <w:basedOn w:val="48"/>
    <w:semiHidden/>
    <w:unhideWhenUsed/>
    <w:qFormat/>
    <w:uiPriority w:val="99"/>
    <w:rPr>
      <w:color w:val="605E5C"/>
      <w:shd w:val="clear" w:color="auto" w:fill="E1DFDD"/>
    </w:rPr>
  </w:style>
  <w:style w:type="paragraph" w:customStyle="1" w:styleId="632">
    <w:name w:val="00 正文"/>
    <w:basedOn w:val="248"/>
    <w:qFormat/>
    <w:uiPriority w:val="0"/>
    <w:pPr>
      <w:ind w:firstLine="200" w:firstLineChars="200"/>
      <w:textAlignment w:val="baseline"/>
    </w:pPr>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49</Pages>
  <Words>128</Words>
  <Characters>150</Characters>
  <Lines>245</Lines>
  <Paragraphs>69</Paragraphs>
  <TotalTime>25</TotalTime>
  <ScaleCrop>false</ScaleCrop>
  <LinksUpToDate>false</LinksUpToDate>
  <CharactersWithSpaces>182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2022-08-28T20:06:00Z</dcterms:created>
  <dc:creator>liuzhipeng</dc:creator>
  <cp:lastModifiedBy>众木成林</cp:lastModifiedBy>
  <cp:lastPrinted>2022-09-27T12:25:00Z</cp:lastPrinted>
  <dcterms:modified xsi:type="dcterms:W3CDTF">2025-02-14T07:36:29Z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A3DA8F006E5E4C8893F8C6ED137D9D02_13</vt:lpwstr>
  </property>
  <property fmtid="{D5CDD505-2E9C-101B-9397-08002B2CF9AE}" pid="4" name="KSOTemplateDocerSaveRecord">
    <vt:lpwstr>eyJoZGlkIjoiZGUzNzgxMjc3YWQxZTk4NGI2NzNmMmZlNzRiZTBmNjUiLCJ1c2VySWQiOiI1Mzc2ODk3MzcifQ==</vt:lpwstr>
  </property>
</Properties>
</file>